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p>
    <w:p/>
    <w:p/>
    <w:p/>
    <w:p>
      <w:pPr>
        <w:jc w:val="center"/>
        <w:rPr>
          <w:b/>
          <w:bCs/>
          <w:sz w:val="40"/>
          <w:szCs w:val="40"/>
        </w:rPr>
      </w:pPr>
      <w:bookmarkStart w:id="0" w:name="_Toc420832298"/>
      <w:bookmarkStart w:id="1" w:name="_Toc420832428"/>
      <w:bookmarkStart w:id="2" w:name="_Toc420832576"/>
      <w:bookmarkStart w:id="3" w:name="_Toc419968683"/>
      <w:bookmarkStart w:id="4" w:name="_Toc420683341"/>
      <w:bookmarkStart w:id="5" w:name="_Toc420831770"/>
      <w:r>
        <w:rPr>
          <w:rFonts w:hint="eastAsia"/>
          <w:b/>
          <w:bCs/>
          <w:sz w:val="40"/>
          <w:szCs w:val="40"/>
        </w:rPr>
        <w:t>前湾府、桂湾府室外景观设计任务书</w:t>
      </w:r>
      <w:bookmarkEnd w:id="0"/>
      <w:bookmarkEnd w:id="1"/>
      <w:bookmarkEnd w:id="2"/>
      <w:bookmarkEnd w:id="3"/>
      <w:bookmarkEnd w:id="4"/>
      <w:bookmarkEnd w:id="5"/>
    </w:p>
    <w:p>
      <w:pPr>
        <w:rPr>
          <w:b/>
          <w:sz w:val="28"/>
          <w:szCs w:val="28"/>
          <w:lang w:val="zh-CN"/>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jc w:val="center"/>
        <w:rPr>
          <w:b/>
          <w:sz w:val="28"/>
          <w:szCs w:val="28"/>
        </w:rPr>
      </w:pPr>
      <w:r>
        <w:rPr>
          <w:rFonts w:hint="eastAsia" w:ascii="宋体" w:hAnsi="宋体"/>
          <w:b/>
          <w:sz w:val="28"/>
          <w:szCs w:val="28"/>
        </w:rPr>
        <w:t xml:space="preserve">     主办单位：深圳市前海建设投资控股集团有限公司</w:t>
      </w:r>
    </w:p>
    <w:p>
      <w:pPr>
        <w:jc w:val="center"/>
        <w:rPr>
          <w:rFonts w:ascii="宋体" w:hAnsi="宋体"/>
          <w:b/>
          <w:sz w:val="28"/>
          <w:szCs w:val="28"/>
        </w:rPr>
      </w:pPr>
      <w:bookmarkStart w:id="6" w:name="_Toc419968684"/>
      <w:bookmarkStart w:id="7" w:name="_Toc420683342"/>
      <w:bookmarkStart w:id="8" w:name="_Toc420832299"/>
      <w:bookmarkStart w:id="9" w:name="_Toc420831771"/>
      <w:r>
        <w:rPr>
          <w:rFonts w:hint="eastAsia" w:ascii="宋体" w:hAnsi="宋体"/>
          <w:b/>
          <w:sz w:val="28"/>
          <w:szCs w:val="28"/>
        </w:rPr>
        <w:t>承办单位：东莞市前湾房地产开发有限公司</w:t>
      </w:r>
    </w:p>
    <w:p>
      <w:pPr>
        <w:jc w:val="center"/>
        <w:rPr>
          <w:rFonts w:ascii="宋体" w:hAnsi="宋体"/>
          <w:b/>
          <w:sz w:val="28"/>
          <w:szCs w:val="28"/>
        </w:rPr>
      </w:pPr>
      <w:r>
        <w:rPr>
          <w:rFonts w:hint="eastAsia" w:ascii="宋体" w:hAnsi="宋体"/>
          <w:b/>
          <w:sz w:val="28"/>
          <w:szCs w:val="28"/>
        </w:rPr>
        <w:t xml:space="preserve">          东莞市桂湾房地产开发有限公司</w:t>
      </w:r>
    </w:p>
    <w:p>
      <w:pPr>
        <w:jc w:val="center"/>
        <w:rPr>
          <w:rFonts w:ascii="宋体" w:hAnsi="宋体"/>
          <w:b/>
          <w:sz w:val="28"/>
          <w:szCs w:val="28"/>
        </w:rPr>
      </w:pPr>
      <w:r>
        <w:rPr>
          <w:rFonts w:hint="eastAsia" w:ascii="宋体" w:hAnsi="宋体"/>
          <w:b/>
          <w:sz w:val="28"/>
          <w:szCs w:val="28"/>
        </w:rPr>
        <w:t>20</w:t>
      </w:r>
      <w:r>
        <w:rPr>
          <w:rFonts w:ascii="宋体" w:hAnsi="宋体"/>
          <w:b/>
          <w:sz w:val="28"/>
          <w:szCs w:val="28"/>
        </w:rPr>
        <w:t>2</w:t>
      </w:r>
      <w:r>
        <w:rPr>
          <w:rFonts w:hint="eastAsia" w:ascii="宋体" w:hAnsi="宋体"/>
          <w:b/>
          <w:sz w:val="28"/>
          <w:szCs w:val="28"/>
        </w:rPr>
        <w:t>1年</w:t>
      </w:r>
      <w:r>
        <w:rPr>
          <w:rFonts w:hint="eastAsia" w:ascii="宋体" w:hAnsi="宋体"/>
          <w:b/>
          <w:sz w:val="28"/>
          <w:szCs w:val="28"/>
          <w:lang w:val="en-US" w:eastAsia="zh-CN"/>
        </w:rPr>
        <w:t>7</w:t>
      </w:r>
      <w:r>
        <w:rPr>
          <w:rFonts w:hint="eastAsia" w:ascii="宋体" w:hAnsi="宋体"/>
          <w:b/>
          <w:sz w:val="28"/>
          <w:szCs w:val="28"/>
        </w:rPr>
        <w:t>月</w:t>
      </w:r>
    </w:p>
    <w:p>
      <w:pPr>
        <w:pStyle w:val="4"/>
        <w:spacing w:after="156"/>
        <w:ind w:left="240" w:right="240"/>
        <w:jc w:val="center"/>
        <w:sectPr>
          <w:headerReference r:id="rId5" w:type="default"/>
          <w:footerReference r:id="rId6" w:type="default"/>
          <w:footerReference r:id="rId7" w:type="even"/>
          <w:pgSz w:w="11906" w:h="16838"/>
          <w:pgMar w:top="1440" w:right="1800" w:bottom="1440" w:left="1800" w:header="851" w:footer="992" w:gutter="0"/>
          <w:cols w:space="425" w:num="1"/>
          <w:docGrid w:type="lines" w:linePitch="312" w:charSpace="0"/>
        </w:sectPr>
      </w:pPr>
    </w:p>
    <w:p>
      <w:pPr>
        <w:pStyle w:val="3"/>
        <w:spacing w:after="156"/>
        <w:ind w:left="240" w:right="240"/>
      </w:pPr>
      <w:bookmarkStart w:id="10" w:name="_Toc4529"/>
      <w:r>
        <w:rPr>
          <w:rFonts w:hint="eastAsia"/>
        </w:rPr>
        <w:t>目  录</w:t>
      </w:r>
      <w:bookmarkEnd w:id="6"/>
      <w:bookmarkEnd w:id="7"/>
      <w:bookmarkEnd w:id="8"/>
      <w:bookmarkEnd w:id="9"/>
      <w:bookmarkEnd w:id="10"/>
      <w:r>
        <w:fldChar w:fldCharType="begin"/>
      </w:r>
      <w:r>
        <w:instrText xml:space="preserve"> </w:instrText>
      </w:r>
      <w:r>
        <w:rPr>
          <w:rFonts w:hint="eastAsia"/>
        </w:rPr>
        <w:instrText xml:space="preserve">TOC \o "1-3" \h \z \u</w:instrText>
      </w:r>
      <w:r>
        <w:instrText xml:space="preserve"> </w:instrText>
      </w:r>
      <w:r>
        <w:fldChar w:fldCharType="separate"/>
      </w:r>
    </w:p>
    <w:p>
      <w:pPr>
        <w:pStyle w:val="12"/>
        <w:tabs>
          <w:tab w:val="right" w:leader="dot" w:pos="8306"/>
        </w:tabs>
      </w:pPr>
      <w:r>
        <w:fldChar w:fldCharType="begin"/>
      </w:r>
      <w:r>
        <w:instrText xml:space="preserve"> HYPERLINK \l "_Toc4529" </w:instrText>
      </w:r>
      <w:r>
        <w:fldChar w:fldCharType="separate"/>
      </w:r>
      <w:r>
        <w:rPr>
          <w:rFonts w:hint="eastAsia"/>
        </w:rPr>
        <w:t>目  录</w:t>
      </w:r>
      <w:r>
        <w:tab/>
      </w:r>
      <w:r>
        <w:fldChar w:fldCharType="end"/>
      </w:r>
    </w:p>
    <w:p>
      <w:pPr>
        <w:pStyle w:val="12"/>
        <w:tabs>
          <w:tab w:val="right" w:leader="dot" w:pos="8306"/>
        </w:tabs>
      </w:pPr>
      <w:r>
        <w:fldChar w:fldCharType="begin"/>
      </w:r>
      <w:r>
        <w:instrText xml:space="preserve"> HYPERLINK \l "_Toc22176" </w:instrText>
      </w:r>
      <w:r>
        <w:fldChar w:fldCharType="separate"/>
      </w:r>
      <w:r>
        <w:rPr>
          <w:rFonts w:hint="eastAsia"/>
        </w:rPr>
        <w:t>一、项目概况</w:t>
      </w:r>
      <w:r>
        <w:tab/>
      </w:r>
      <w:r>
        <w:fldChar w:fldCharType="end"/>
      </w:r>
    </w:p>
    <w:p>
      <w:pPr>
        <w:pStyle w:val="12"/>
        <w:tabs>
          <w:tab w:val="right" w:leader="dot" w:pos="8306"/>
        </w:tabs>
      </w:pPr>
      <w:r>
        <w:fldChar w:fldCharType="begin"/>
      </w:r>
      <w:r>
        <w:instrText xml:space="preserve"> HYPERLINK \l "_Toc15633" </w:instrText>
      </w:r>
      <w:r>
        <w:fldChar w:fldCharType="separate"/>
      </w:r>
      <w:r>
        <w:rPr>
          <w:rFonts w:hint="eastAsia"/>
        </w:rPr>
        <w:t>二、项目定位</w:t>
      </w:r>
      <w:r>
        <w:tab/>
      </w:r>
      <w:r>
        <w:fldChar w:fldCharType="end"/>
      </w:r>
    </w:p>
    <w:p>
      <w:pPr>
        <w:pStyle w:val="12"/>
        <w:tabs>
          <w:tab w:val="right" w:leader="dot" w:pos="8306"/>
        </w:tabs>
      </w:pPr>
      <w:r>
        <w:fldChar w:fldCharType="begin"/>
      </w:r>
      <w:r>
        <w:instrText xml:space="preserve"> HYPERLINK \l "_Toc16432" </w:instrText>
      </w:r>
      <w:r>
        <w:fldChar w:fldCharType="separate"/>
      </w:r>
      <w:r>
        <w:rPr>
          <w:rFonts w:hint="eastAsia"/>
        </w:rPr>
        <w:t>三、设计原则</w:t>
      </w:r>
      <w:r>
        <w:tab/>
      </w:r>
      <w:r>
        <w:fldChar w:fldCharType="end"/>
      </w:r>
    </w:p>
    <w:p>
      <w:pPr>
        <w:pStyle w:val="12"/>
        <w:tabs>
          <w:tab w:val="right" w:leader="dot" w:pos="8306"/>
        </w:tabs>
      </w:pPr>
      <w:r>
        <w:fldChar w:fldCharType="begin"/>
      </w:r>
      <w:r>
        <w:instrText xml:space="preserve"> HYPERLINK \l "_Toc20719" </w:instrText>
      </w:r>
      <w:r>
        <w:fldChar w:fldCharType="separate"/>
      </w:r>
      <w:r>
        <w:rPr>
          <w:rFonts w:hint="eastAsia"/>
        </w:rPr>
        <w:t>四、设计要求</w:t>
      </w:r>
      <w:r>
        <w:tab/>
      </w:r>
      <w:r>
        <w:fldChar w:fldCharType="end"/>
      </w:r>
    </w:p>
    <w:p>
      <w:pPr>
        <w:pStyle w:val="12"/>
        <w:tabs>
          <w:tab w:val="right" w:leader="dot" w:pos="8306"/>
        </w:tabs>
      </w:pPr>
      <w:r>
        <w:fldChar w:fldCharType="begin"/>
      </w:r>
      <w:r>
        <w:instrText xml:space="preserve"> HYPERLINK \l "_Toc22536" </w:instrText>
      </w:r>
      <w:r>
        <w:fldChar w:fldCharType="separate"/>
      </w:r>
      <w:r>
        <w:rPr>
          <w:rFonts w:hint="eastAsia"/>
        </w:rPr>
        <w:t>五、成果要求</w:t>
      </w:r>
      <w:r>
        <w:tab/>
      </w:r>
      <w:r>
        <w:fldChar w:fldCharType="end"/>
      </w:r>
    </w:p>
    <w:p>
      <w:pPr>
        <w:pStyle w:val="12"/>
        <w:tabs>
          <w:tab w:val="right" w:leader="dot" w:pos="8306"/>
        </w:tabs>
      </w:pPr>
      <w:r>
        <w:fldChar w:fldCharType="begin"/>
      </w:r>
      <w:r>
        <w:instrText xml:space="preserve"> HYPERLINK \l "_Toc16302" </w:instrText>
      </w:r>
      <w:r>
        <w:fldChar w:fldCharType="separate"/>
      </w:r>
      <w:r>
        <w:rPr>
          <w:rFonts w:hint="eastAsia"/>
        </w:rPr>
        <w:t>六</w:t>
      </w:r>
      <w:r>
        <w:t>、</w:t>
      </w:r>
      <w:r>
        <w:rPr>
          <w:rFonts w:hint="eastAsia"/>
        </w:rPr>
        <w:t>提交时间</w:t>
      </w:r>
      <w:r>
        <w:tab/>
      </w:r>
      <w:r>
        <w:fldChar w:fldCharType="end"/>
      </w:r>
    </w:p>
    <w:p>
      <w:pPr>
        <w:pStyle w:val="12"/>
        <w:tabs>
          <w:tab w:val="right" w:leader="dot" w:pos="8306"/>
        </w:tabs>
      </w:pPr>
      <w:r>
        <w:fldChar w:fldCharType="begin"/>
      </w:r>
      <w:r>
        <w:instrText xml:space="preserve"> HYPERLINK \l "_Toc22301" </w:instrText>
      </w:r>
      <w:r>
        <w:fldChar w:fldCharType="separate"/>
      </w:r>
      <w:r>
        <w:rPr>
          <w:rFonts w:hint="eastAsia"/>
        </w:rPr>
        <w:t>七</w:t>
      </w:r>
      <w:r>
        <w:t>、</w:t>
      </w:r>
      <w:r>
        <w:rPr>
          <w:rFonts w:hint="eastAsia"/>
        </w:rPr>
        <w:t>服务内容</w:t>
      </w:r>
      <w:r>
        <w:tab/>
      </w:r>
      <w:r>
        <w:fldChar w:fldCharType="end"/>
      </w:r>
    </w:p>
    <w:p>
      <w:pPr>
        <w:pStyle w:val="3"/>
        <w:spacing w:after="156"/>
        <w:ind w:left="240" w:right="240"/>
      </w:pPr>
      <w:r>
        <w:fldChar w:fldCharType="end"/>
      </w:r>
      <w:bookmarkStart w:id="11" w:name="_Toc22176"/>
      <w:bookmarkStart w:id="12" w:name="_Toc421524405"/>
      <w:bookmarkStart w:id="13" w:name="_Toc420831772"/>
      <w:r>
        <w:rPr>
          <w:rFonts w:hint="eastAsia"/>
        </w:rPr>
        <w:t>一、项目概况</w:t>
      </w:r>
      <w:bookmarkEnd w:id="11"/>
      <w:bookmarkEnd w:id="12"/>
      <w:bookmarkEnd w:id="13"/>
    </w:p>
    <w:p>
      <w:pPr>
        <w:pStyle w:val="5"/>
      </w:pPr>
      <w:bookmarkStart w:id="14" w:name="_Toc421524406"/>
      <w:bookmarkStart w:id="15" w:name="_Toc420831773"/>
      <w:r>
        <w:rPr>
          <w:rFonts w:hint="eastAsia"/>
        </w:rPr>
        <w:t>1.1地理位置</w:t>
      </w:r>
      <w:bookmarkEnd w:id="14"/>
      <w:bookmarkEnd w:id="15"/>
    </w:p>
    <w:p>
      <w:r>
        <w:rPr>
          <w:rFonts w:hint="eastAsia"/>
        </w:rPr>
        <w:t xml:space="preserve">   项目位于东莞市塘厦镇科苑城产业组团，科苑大道以南，月湖路以北，青峰路以东，曲水路以西，大坪社区与田心社区交界处。前湾府（2020WR023）、桂湾府（2020WR024）两个地块，两用地均为二类</w:t>
      </w:r>
      <w:bookmarkStart w:id="39" w:name="_GoBack"/>
      <w:bookmarkEnd w:id="39"/>
      <w:r>
        <w:rPr>
          <w:rFonts w:hint="eastAsia"/>
        </w:rPr>
        <w:t>住宅用地（R2），其中，前湾府（2020WR023地块）建设用地面积43759.72㎡，计容建筑面积约13.1万㎡，桂湾府（2020WR024地块）建设用地面积46396.00㎡，计容建筑面积约13.9万㎡。</w:t>
      </w:r>
    </w:p>
    <w:p>
      <w:pPr>
        <w:spacing w:line="600" w:lineRule="exact"/>
        <w:ind w:firstLine="480" w:firstLineChars="200"/>
        <w:jc w:val="left"/>
        <w:rPr>
          <w:rFonts w:ascii="黑体" w:hAnsi="黑体" w:eastAsia="黑体"/>
          <w:sz w:val="32"/>
          <w:szCs w:val="32"/>
        </w:rPr>
      </w:pPr>
      <w:r>
        <w:drawing>
          <wp:anchor distT="0" distB="0" distL="114300" distR="114300" simplePos="0" relativeHeight="251661312" behindDoc="0" locked="0" layoutInCell="1" allowOverlap="1">
            <wp:simplePos x="0" y="0"/>
            <wp:positionH relativeFrom="column">
              <wp:posOffset>45085</wp:posOffset>
            </wp:positionH>
            <wp:positionV relativeFrom="paragraph">
              <wp:posOffset>132080</wp:posOffset>
            </wp:positionV>
            <wp:extent cx="5318760" cy="4208780"/>
            <wp:effectExtent l="0" t="0" r="2540" b="7620"/>
            <wp:wrapNone/>
            <wp:docPr id="3" name="图片 4"/>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9"/>
                    <a:srcRect l="2251"/>
                    <a:stretch>
                      <a:fillRect/>
                    </a:stretch>
                  </pic:blipFill>
                  <pic:spPr>
                    <a:xfrm>
                      <a:off x="0" y="0"/>
                      <a:ext cx="5318760" cy="4208780"/>
                    </a:xfrm>
                    <a:prstGeom prst="rect">
                      <a:avLst/>
                    </a:prstGeom>
                    <a:noFill/>
                    <a:ln>
                      <a:noFill/>
                    </a:ln>
                  </pic:spPr>
                </pic:pic>
              </a:graphicData>
            </a:graphic>
          </wp:anchor>
        </w:drawing>
      </w: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Pr>
        <w:spacing w:line="600" w:lineRule="exact"/>
        <w:ind w:firstLine="640" w:firstLineChars="200"/>
        <w:jc w:val="left"/>
        <w:rPr>
          <w:rFonts w:ascii="黑体" w:hAnsi="黑体" w:eastAsia="黑体"/>
          <w:sz w:val="32"/>
          <w:szCs w:val="32"/>
        </w:rPr>
      </w:pPr>
    </w:p>
    <w:p/>
    <w:p>
      <w:r>
        <w:drawing>
          <wp:anchor distT="0" distB="0" distL="114300" distR="114300" simplePos="0" relativeHeight="251660288" behindDoc="0" locked="0" layoutInCell="1" allowOverlap="1">
            <wp:simplePos x="0" y="0"/>
            <wp:positionH relativeFrom="column">
              <wp:posOffset>1316355</wp:posOffset>
            </wp:positionH>
            <wp:positionV relativeFrom="paragraph">
              <wp:posOffset>5406390</wp:posOffset>
            </wp:positionV>
            <wp:extent cx="5318760" cy="4208780"/>
            <wp:effectExtent l="0" t="0" r="2540" b="7620"/>
            <wp:wrapNone/>
            <wp:docPr id="2" name="图片 4"/>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9"/>
                    <a:srcRect l="2251"/>
                    <a:stretch>
                      <a:fillRect/>
                    </a:stretch>
                  </pic:blipFill>
                  <pic:spPr>
                    <a:xfrm>
                      <a:off x="0" y="0"/>
                      <a:ext cx="5318760" cy="420878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1163955</wp:posOffset>
            </wp:positionH>
            <wp:positionV relativeFrom="paragraph">
              <wp:posOffset>5253990</wp:posOffset>
            </wp:positionV>
            <wp:extent cx="5318760" cy="4208780"/>
            <wp:effectExtent l="0" t="0" r="2540" b="7620"/>
            <wp:wrapNone/>
            <wp:docPr id="1" name="图片 4"/>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9"/>
                    <a:srcRect l="2251"/>
                    <a:stretch>
                      <a:fillRect/>
                    </a:stretch>
                  </pic:blipFill>
                  <pic:spPr>
                    <a:xfrm>
                      <a:off x="0" y="0"/>
                      <a:ext cx="5318760" cy="4208780"/>
                    </a:xfrm>
                    <a:prstGeom prst="rect">
                      <a:avLst/>
                    </a:prstGeom>
                    <a:noFill/>
                    <a:ln>
                      <a:noFill/>
                    </a:ln>
                  </pic:spPr>
                </pic:pic>
              </a:graphicData>
            </a:graphic>
          </wp:anchor>
        </w:drawing>
      </w:r>
    </w:p>
    <w:p>
      <w:pPr>
        <w:pStyle w:val="5"/>
      </w:pPr>
      <w:bookmarkStart w:id="16" w:name="_Toc421524407"/>
      <w:bookmarkStart w:id="17" w:name="_Toc420831774"/>
      <w:r>
        <w:rPr>
          <w:rFonts w:hint="eastAsia"/>
          <w:lang w:val="en-US"/>
        </w:rPr>
        <w:t>1.2地形地貌</w:t>
      </w:r>
      <w:bookmarkEnd w:id="16"/>
      <w:bookmarkEnd w:id="17"/>
    </w:p>
    <w:p>
      <w:pPr>
        <w:pStyle w:val="2"/>
        <w:ind w:firstLine="560"/>
        <w:jc w:val="left"/>
        <w:outlineLvl w:val="9"/>
        <w:rPr>
          <w:rFonts w:ascii="宋体" w:hAnsi="宋体"/>
          <w:b w:val="0"/>
          <w:bCs w:val="0"/>
          <w:sz w:val="24"/>
          <w:szCs w:val="24"/>
          <w:lang w:val="en-US"/>
        </w:rPr>
      </w:pPr>
      <w:r>
        <w:rPr>
          <w:rFonts w:hint="eastAsia" w:ascii="宋体" w:hAnsi="宋体"/>
          <w:b w:val="0"/>
          <w:bCs w:val="0"/>
          <w:sz w:val="24"/>
          <w:szCs w:val="24"/>
          <w:lang w:val="en-US"/>
        </w:rPr>
        <w:t>本项目紧邻西侧规划人才公园，东侧规划体育公园，周边整个地块地势西高东低。其中桂湾府地块西高东低，地块按1%坡比由西37.6到东35放坡；前湾府地块北高南低，地块按0.5%的坡比由北34.0到南33.0放坡。</w:t>
      </w:r>
    </w:p>
    <w:p>
      <w:pPr>
        <w:pStyle w:val="5"/>
        <w:rPr>
          <w:lang w:val="en-US"/>
        </w:rPr>
      </w:pPr>
      <w:bookmarkStart w:id="18" w:name="_Toc421524408"/>
      <w:bookmarkStart w:id="19" w:name="_Toc420831775"/>
      <w:r>
        <w:rPr>
          <w:rFonts w:hint="eastAsia"/>
          <w:lang w:val="en-US"/>
        </w:rPr>
        <w:t>1.3周边环境</w:t>
      </w:r>
      <w:bookmarkEnd w:id="18"/>
      <w:bookmarkEnd w:id="19"/>
      <w:r>
        <w:rPr>
          <w:rFonts w:hint="eastAsia"/>
          <w:lang w:val="en-US"/>
        </w:rPr>
        <w:t>及配套</w:t>
      </w:r>
      <w:bookmarkStart w:id="20" w:name="_Toc421524409"/>
      <w:bookmarkStart w:id="21" w:name="_Toc420831776"/>
    </w:p>
    <w:p>
      <w:pPr>
        <w:pStyle w:val="2"/>
        <w:ind w:firstLine="560"/>
        <w:jc w:val="left"/>
        <w:outlineLvl w:val="9"/>
        <w:rPr>
          <w:rFonts w:ascii="宋体" w:hAnsi="宋体"/>
          <w:b w:val="0"/>
          <w:bCs w:val="0"/>
          <w:sz w:val="24"/>
          <w:szCs w:val="24"/>
          <w:lang w:val="en-US"/>
        </w:rPr>
      </w:pPr>
      <w:r>
        <w:rPr>
          <w:rFonts w:hint="eastAsia" w:ascii="宋体" w:hAnsi="宋体"/>
          <w:b w:val="0"/>
          <w:bCs w:val="0"/>
          <w:sz w:val="24"/>
          <w:szCs w:val="24"/>
          <w:lang w:val="en-US"/>
        </w:rPr>
        <w:t>本项目西侧为规划人才公园，东侧为规划体育公园，南侧为规划81班初级中学，东南方向约500米为塘厦三甲医院。项目北侧隔城市绿带为科苑大道（城市主干道），东侧曲水路、南侧月湖路正在实施建设，西侧及2地块之间为规划市政道路。</w:t>
      </w:r>
    </w:p>
    <w:bookmarkEnd w:id="20"/>
    <w:bookmarkEnd w:id="21"/>
    <w:p>
      <w:pPr>
        <w:pStyle w:val="5"/>
        <w:rPr>
          <w:lang w:val="en-US"/>
        </w:rPr>
      </w:pPr>
      <w:r>
        <w:rPr>
          <w:rFonts w:hint="eastAsia"/>
        </w:rPr>
        <w:t>1.</w:t>
      </w:r>
      <w:r>
        <w:rPr>
          <w:rFonts w:hint="eastAsia"/>
          <w:lang w:val="en-US"/>
        </w:rPr>
        <w:t>4</w:t>
      </w:r>
      <w:r>
        <w:rPr>
          <w:rFonts w:hint="eastAsia"/>
        </w:rPr>
        <w:t xml:space="preserve"> 设计范围</w:t>
      </w:r>
    </w:p>
    <w:p>
      <w:pPr>
        <w:rPr>
          <w:rFonts w:ascii="宋体" w:hAnsi="宋体"/>
          <w:b/>
          <w:bCs/>
        </w:rPr>
      </w:pPr>
      <w:r>
        <w:rPr>
          <w:rFonts w:hint="eastAsia" w:ascii="宋体" w:hAnsi="宋体"/>
          <w:b/>
          <w:bCs/>
        </w:rPr>
        <w:t>（1）前湾府设计范围</w:t>
      </w:r>
    </w:p>
    <w:p>
      <w:pPr>
        <w:ind w:firstLine="480" w:firstLineChars="200"/>
        <w:rPr>
          <w:rFonts w:ascii="宋体" w:hAnsi="宋体"/>
        </w:rPr>
      </w:pPr>
      <w:r>
        <w:rPr>
          <w:rFonts w:hint="eastAsia" w:ascii="宋体" w:hAnsi="宋体"/>
        </w:rPr>
        <w:t>依据现阶段建筑设计方案计算，前湾府大区室外景观面积暂定为36835平方米;</w:t>
      </w:r>
    </w:p>
    <w:p>
      <w:pPr>
        <w:rPr>
          <w:rFonts w:ascii="宋体" w:hAnsi="宋体"/>
          <w:b/>
          <w:bCs/>
        </w:rPr>
      </w:pPr>
      <w:r>
        <w:rPr>
          <w:rFonts w:hint="eastAsia" w:ascii="宋体" w:hAnsi="宋体"/>
          <w:b/>
          <w:bCs/>
        </w:rPr>
        <w:t>（2）桂湾府设计范围</w:t>
      </w:r>
    </w:p>
    <w:p>
      <w:pPr>
        <w:ind w:firstLine="480" w:firstLineChars="200"/>
        <w:rPr>
          <w:rFonts w:ascii="宋体" w:hAnsi="宋体"/>
        </w:rPr>
      </w:pPr>
      <w:r>
        <w:rPr>
          <w:rFonts w:hint="eastAsia" w:ascii="宋体" w:hAnsi="宋体"/>
        </w:rPr>
        <w:t>依据现阶段建筑设计方案计算，桂湾府室外景观面积暂定为41188平方米，其中大区室外景观面积暂定为35188平方米，示范区室外景观面积暂定为6000平方米。</w:t>
      </w:r>
    </w:p>
    <w:p>
      <w:pPr>
        <w:ind w:firstLine="480" w:firstLineChars="200"/>
        <w:rPr>
          <w:sz w:val="21"/>
          <w:lang w:val="zh-CN"/>
        </w:rPr>
      </w:pPr>
      <w:r>
        <w:rPr>
          <w:rFonts w:hint="eastAsia" w:ascii="宋体" w:hAnsi="宋体"/>
        </w:rPr>
        <w:t>以上内容</w:t>
      </w:r>
      <w:r>
        <w:rPr>
          <w:rFonts w:hint="eastAsia"/>
        </w:rPr>
        <w:t>设计范围详见附图：</w:t>
      </w:r>
    </w:p>
    <w:p>
      <w:pPr>
        <w:spacing w:line="360" w:lineRule="auto"/>
      </w:pPr>
      <w:r>
        <w:drawing>
          <wp:inline distT="0" distB="0" distL="114300" distR="114300">
            <wp:extent cx="5265420" cy="5501005"/>
            <wp:effectExtent l="0" t="0" r="5080" b="10795"/>
            <wp:docPr id="5" name="图片 5" descr="塘厦镇科苑城产业组团住宅项目红线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塘厦镇科苑城产业组团住宅项目红线0511"/>
                    <pic:cNvPicPr>
                      <a:picLocks noChangeAspect="1"/>
                    </pic:cNvPicPr>
                  </pic:nvPicPr>
                  <pic:blipFill>
                    <a:blip r:embed="rId10"/>
                    <a:stretch>
                      <a:fillRect/>
                    </a:stretch>
                  </pic:blipFill>
                  <pic:spPr>
                    <a:xfrm>
                      <a:off x="0" y="0"/>
                      <a:ext cx="5265420" cy="5501005"/>
                    </a:xfrm>
                    <a:prstGeom prst="rect">
                      <a:avLst/>
                    </a:prstGeom>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设计红线图</w:t>
      </w:r>
    </w:p>
    <w:p>
      <w:pPr>
        <w:pStyle w:val="3"/>
      </w:pPr>
      <w:bookmarkStart w:id="22" w:name="_Toc15633"/>
      <w:bookmarkStart w:id="23" w:name="_Toc420831778"/>
      <w:r>
        <w:rPr>
          <w:rFonts w:hint="eastAsia"/>
        </w:rPr>
        <w:t>二、项目定位</w:t>
      </w:r>
      <w:bookmarkEnd w:id="22"/>
      <w:bookmarkEnd w:id="23"/>
    </w:p>
    <w:p>
      <w:pPr>
        <w:pStyle w:val="5"/>
      </w:pPr>
      <w:r>
        <w:rPr>
          <w:rFonts w:hint="eastAsia"/>
        </w:rPr>
        <w:t>2.1 项目定位及客户群</w:t>
      </w:r>
    </w:p>
    <w:p>
      <w:pPr>
        <w:ind w:firstLine="480" w:firstLineChars="200"/>
        <w:rPr>
          <w:lang w:val="zh-CN"/>
        </w:rPr>
      </w:pPr>
      <w:r>
        <w:rPr>
          <w:rFonts w:hint="eastAsia"/>
          <w:lang w:val="zh-CN"/>
        </w:rPr>
        <w:t>本项目将打造成东莞全市品质标杆项目，深莞都市圈科苑中央芯城·健康智能·前海艺术人居2.0； 项目的愿景是为莞深业主营造一个体验美好的城市人生活方式。我们希望“城市人生活”，是“家”与“城市”的向外扩展，是中青年业主享受健康生活的场所，是老年人之间与邻里交往的催化剂，是儿童愉快成长的乐土，更是业主个性化属性的”大家“景观。</w:t>
      </w:r>
    </w:p>
    <w:p>
      <w:pPr>
        <w:pStyle w:val="5"/>
      </w:pPr>
      <w:r>
        <w:rPr>
          <w:rFonts w:hint="eastAsia"/>
        </w:rPr>
        <w:t>2.</w:t>
      </w:r>
      <w:r>
        <w:rPr>
          <w:rFonts w:hint="eastAsia"/>
          <w:lang w:val="en-US"/>
        </w:rPr>
        <w:t>2</w:t>
      </w:r>
      <w:r>
        <w:rPr>
          <w:rFonts w:hint="eastAsia"/>
        </w:rPr>
        <w:t>建筑风格</w:t>
      </w:r>
    </w:p>
    <w:p>
      <w:pPr>
        <w:ind w:firstLine="480" w:firstLineChars="200"/>
      </w:pPr>
      <w:r>
        <w:rPr>
          <w:rFonts w:hint="eastAsia"/>
        </w:rPr>
        <w:t>项目产品及形象应在满足规划要求及周边环境的条件下，结合地域特色，通过空间形态的合理规划，建筑造型简洁明快、充满个性和时代感，与周边项目形成产品差异，增强产品的市场竞争力。</w:t>
      </w:r>
    </w:p>
    <w:p>
      <w:pPr>
        <w:pStyle w:val="5"/>
      </w:pPr>
      <w:r>
        <w:rPr>
          <w:rFonts w:hint="eastAsia"/>
        </w:rPr>
        <w:t>2.</w:t>
      </w:r>
      <w:r>
        <w:rPr>
          <w:rFonts w:hint="eastAsia"/>
          <w:lang w:val="en-US"/>
        </w:rPr>
        <w:t>3</w:t>
      </w:r>
      <w:r>
        <w:rPr>
          <w:rFonts w:hint="eastAsia"/>
        </w:rPr>
        <w:t>建筑立面</w:t>
      </w:r>
    </w:p>
    <w:p>
      <w:pPr>
        <w:ind w:firstLine="480" w:firstLineChars="200"/>
      </w:pPr>
      <w:r>
        <w:rPr>
          <w:rFonts w:hint="eastAsia"/>
        </w:rPr>
        <w:t>建筑立面造型要求特点鲜明、简约，突出个性和内涵，并有一定的超前意识。风格宜以现代为主，注重色彩，建筑用材与建筑造型的融合，以及地、面、窗、台的协调。主要城市界面建筑立面的处理要着重设计，达到极强的昭示性和形象推广力。避免影响外立面的主要因素：水管、空调等。</w:t>
      </w:r>
    </w:p>
    <w:p>
      <w:pPr>
        <w:ind w:firstLine="480" w:firstLineChars="200"/>
      </w:pPr>
    </w:p>
    <w:p>
      <w:pPr>
        <w:pStyle w:val="3"/>
      </w:pPr>
      <w:bookmarkStart w:id="24" w:name="_Toc420831784"/>
      <w:bookmarkStart w:id="25" w:name="_Toc16432"/>
      <w:r>
        <w:rPr>
          <w:rFonts w:hint="eastAsia"/>
        </w:rPr>
        <w:t>三、设计原则</w:t>
      </w:r>
      <w:bookmarkEnd w:id="24"/>
      <w:bookmarkEnd w:id="25"/>
    </w:p>
    <w:p>
      <w:pPr>
        <w:pStyle w:val="5"/>
      </w:pPr>
      <w:r>
        <w:rPr>
          <w:rFonts w:hint="eastAsia"/>
        </w:rPr>
        <w:t>3.1创新性原则</w:t>
      </w:r>
    </w:p>
    <w:p>
      <w:pPr>
        <w:ind w:firstLine="480" w:firstLineChars="200"/>
      </w:pPr>
      <w:r>
        <w:rPr>
          <w:rFonts w:hint="eastAsia"/>
        </w:rPr>
        <w:t>根据项目定位，灵活运用各项设计手法，推陈出新，注重设计落地性。</w:t>
      </w:r>
    </w:p>
    <w:p>
      <w:pPr>
        <w:pStyle w:val="5"/>
      </w:pPr>
      <w:r>
        <w:rPr>
          <w:rFonts w:hint="eastAsia"/>
        </w:rPr>
        <w:t>3.2经济性原则</w:t>
      </w:r>
    </w:p>
    <w:p>
      <w:pPr>
        <w:ind w:firstLine="480" w:firstLineChars="200"/>
      </w:pPr>
      <w:r>
        <w:rPr>
          <w:rFonts w:hint="eastAsia"/>
        </w:rPr>
        <w:t>各设计阶段需在保证使用功能与效果的前提下，通过对不同设计手法，对软、硬质比例、形式、材料等的选择进行多方案的比较，严格控制合理的工程造价。</w:t>
      </w:r>
    </w:p>
    <w:p>
      <w:pPr>
        <w:pStyle w:val="5"/>
      </w:pPr>
      <w:r>
        <w:rPr>
          <w:rFonts w:hint="eastAsia"/>
        </w:rPr>
        <w:t>3.3适用性原则</w:t>
      </w:r>
    </w:p>
    <w:p>
      <w:pPr>
        <w:ind w:firstLine="480" w:firstLineChars="200"/>
      </w:pPr>
      <w:r>
        <w:rPr>
          <w:rFonts w:hint="eastAsia"/>
        </w:rPr>
        <w:t>景观风格符合整体规划定位，功能布局合理，总体布局有利于实施，有效指导施工图阶段各项设计的开展，满足项目实际需求。</w:t>
      </w:r>
    </w:p>
    <w:p>
      <w:pPr>
        <w:pStyle w:val="3"/>
      </w:pPr>
      <w:bookmarkStart w:id="26" w:name="_Toc420831785"/>
      <w:bookmarkStart w:id="27" w:name="_Toc20719"/>
      <w:r>
        <w:rPr>
          <w:rFonts w:hint="eastAsia"/>
        </w:rPr>
        <w:t>四、设计要求</w:t>
      </w:r>
      <w:bookmarkEnd w:id="26"/>
      <w:bookmarkEnd w:id="27"/>
    </w:p>
    <w:p>
      <w:pPr>
        <w:pStyle w:val="5"/>
        <w:spacing w:line="360" w:lineRule="auto"/>
      </w:pPr>
      <w:bookmarkStart w:id="28" w:name="_Toc420831786"/>
      <w:r>
        <w:rPr>
          <w:rFonts w:hint="eastAsia"/>
        </w:rPr>
        <w:t>4.1总体指标</w:t>
      </w:r>
      <w:bookmarkEnd w:id="28"/>
    </w:p>
    <w:p>
      <w:pPr>
        <w:pStyle w:val="6"/>
        <w:spacing w:line="240" w:lineRule="auto"/>
        <w:rPr>
          <w:sz w:val="24"/>
          <w:szCs w:val="22"/>
        </w:rPr>
      </w:pPr>
      <w:r>
        <w:rPr>
          <w:rFonts w:hint="eastAsia"/>
          <w:sz w:val="24"/>
          <w:szCs w:val="22"/>
          <w:lang w:val="zh-CN"/>
        </w:rPr>
        <w:t>4.1.1地块规划控制指标</w:t>
      </w:r>
    </w:p>
    <w:p>
      <w:pPr>
        <w:jc w:val="center"/>
      </w:pPr>
      <w:r>
        <w:rPr>
          <w:rFonts w:hint="eastAsia"/>
        </w:rPr>
        <w:t>前湾府主要</w:t>
      </w:r>
      <w:r>
        <w:t>经济技术指标表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00"/>
        <w:gridCol w:w="1960"/>
        <w:gridCol w:w="1194"/>
        <w:gridCol w:w="1776"/>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360" w:type="dxa"/>
            <w:gridSpan w:val="3"/>
          </w:tcPr>
          <w:p>
            <w:pPr>
              <w:spacing w:line="240" w:lineRule="auto"/>
            </w:pPr>
            <w:r>
              <w:rPr>
                <w:rFonts w:hint="eastAsia"/>
              </w:rPr>
              <w:t>指标名称</w:t>
            </w:r>
          </w:p>
        </w:tc>
        <w:tc>
          <w:tcPr>
            <w:tcW w:w="1194" w:type="dxa"/>
          </w:tcPr>
          <w:p>
            <w:pPr>
              <w:spacing w:line="240" w:lineRule="auto"/>
            </w:pPr>
            <w:r>
              <w:rPr>
                <w:rFonts w:hint="eastAsia"/>
              </w:rPr>
              <w:t>单位</w:t>
            </w:r>
          </w:p>
        </w:tc>
        <w:tc>
          <w:tcPr>
            <w:tcW w:w="1776" w:type="dxa"/>
          </w:tcPr>
          <w:p>
            <w:pPr>
              <w:spacing w:line="240" w:lineRule="auto"/>
            </w:pPr>
            <w:r>
              <w:rPr>
                <w:rFonts w:hint="eastAsia"/>
              </w:rPr>
              <w:t>数量</w:t>
            </w:r>
          </w:p>
        </w:tc>
        <w:tc>
          <w:tcPr>
            <w:tcW w:w="1983" w:type="dxa"/>
          </w:tcPr>
          <w:p>
            <w:pPr>
              <w:spacing w:line="240" w:lineRule="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360" w:type="dxa"/>
            <w:gridSpan w:val="3"/>
          </w:tcPr>
          <w:p>
            <w:pPr>
              <w:spacing w:line="240" w:lineRule="auto"/>
            </w:pPr>
            <w:r>
              <w:rPr>
                <w:rFonts w:hint="eastAsia"/>
              </w:rPr>
              <w:t>建设用地面积</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43759.72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360" w:type="dxa"/>
            <w:gridSpan w:val="3"/>
          </w:tcPr>
          <w:p>
            <w:pPr>
              <w:spacing w:line="240" w:lineRule="auto"/>
            </w:pPr>
            <w:r>
              <w:rPr>
                <w:rFonts w:hint="eastAsia"/>
              </w:rPr>
              <w:t>总建筑面积</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194233.72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3360" w:type="dxa"/>
            <w:gridSpan w:val="3"/>
          </w:tcPr>
          <w:p>
            <w:pPr>
              <w:spacing w:line="240" w:lineRule="auto"/>
            </w:pPr>
            <w:r>
              <w:rPr>
                <w:rFonts w:hint="eastAsia"/>
              </w:rPr>
              <w:t>地上总建筑面积</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134426.18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地上计容建筑面积</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131274.27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700" w:type="dxa"/>
            <w:vMerge w:val="restart"/>
            <w:noWrap/>
          </w:tcPr>
          <w:p>
            <w:pPr>
              <w:spacing w:line="240" w:lineRule="auto"/>
            </w:pPr>
            <w:r>
              <w:rPr>
                <w:rFonts w:hint="eastAsia"/>
              </w:rPr>
              <w:t>其中</w:t>
            </w:r>
          </w:p>
        </w:tc>
        <w:tc>
          <w:tcPr>
            <w:tcW w:w="2660" w:type="dxa"/>
            <w:gridSpan w:val="2"/>
          </w:tcPr>
          <w:p>
            <w:pPr>
              <w:spacing w:line="240" w:lineRule="auto"/>
            </w:pPr>
            <w:r>
              <w:rPr>
                <w:rFonts w:hint="eastAsia"/>
              </w:rPr>
              <w:t>居住建筑</w:t>
            </w:r>
          </w:p>
        </w:tc>
        <w:tc>
          <w:tcPr>
            <w:tcW w:w="1194" w:type="dxa"/>
          </w:tcPr>
          <w:p>
            <w:pPr>
              <w:spacing w:line="240" w:lineRule="auto"/>
            </w:pPr>
            <w:r>
              <w:rPr>
                <w:rFonts w:hint="eastAsia"/>
              </w:rPr>
              <w:t>㎡</w:t>
            </w:r>
          </w:p>
        </w:tc>
        <w:tc>
          <w:tcPr>
            <w:tcW w:w="1776" w:type="dxa"/>
          </w:tcPr>
          <w:p>
            <w:pPr>
              <w:spacing w:line="240" w:lineRule="auto"/>
            </w:pPr>
            <w:r>
              <w:rPr>
                <w:rFonts w:hint="eastAsia"/>
              </w:rPr>
              <w:t>123228.6</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700" w:type="dxa"/>
            <w:vMerge w:val="restart"/>
            <w:noWrap/>
          </w:tcPr>
          <w:p>
            <w:pPr>
              <w:spacing w:line="240" w:lineRule="auto"/>
            </w:pPr>
            <w:r>
              <w:rPr>
                <w:rFonts w:hint="eastAsia"/>
              </w:rPr>
              <w:t>其中</w:t>
            </w:r>
          </w:p>
        </w:tc>
        <w:tc>
          <w:tcPr>
            <w:tcW w:w="1960" w:type="dxa"/>
          </w:tcPr>
          <w:p>
            <w:pPr>
              <w:spacing w:line="240" w:lineRule="auto"/>
            </w:pPr>
            <w:r>
              <w:rPr>
                <w:rFonts w:hint="eastAsia"/>
              </w:rPr>
              <w:t>配建商品住房</w:t>
            </w:r>
          </w:p>
        </w:tc>
        <w:tc>
          <w:tcPr>
            <w:tcW w:w="1194" w:type="dxa"/>
          </w:tcPr>
          <w:p>
            <w:pPr>
              <w:spacing w:line="240" w:lineRule="auto"/>
            </w:pPr>
            <w:r>
              <w:rPr>
                <w:rFonts w:hint="eastAsia"/>
              </w:rPr>
              <w:t>㎡</w:t>
            </w:r>
          </w:p>
        </w:tc>
        <w:tc>
          <w:tcPr>
            <w:tcW w:w="1776" w:type="dxa"/>
          </w:tcPr>
          <w:p>
            <w:pPr>
              <w:spacing w:line="240" w:lineRule="auto"/>
            </w:pPr>
            <w:r>
              <w:rPr>
                <w:rFonts w:hint="eastAsia"/>
              </w:rPr>
              <w:t>24944.26</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100米高层住宅</w:t>
            </w:r>
          </w:p>
        </w:tc>
        <w:tc>
          <w:tcPr>
            <w:tcW w:w="1194" w:type="dxa"/>
          </w:tcPr>
          <w:p>
            <w:pPr>
              <w:spacing w:line="240" w:lineRule="auto"/>
            </w:pPr>
            <w:r>
              <w:rPr>
                <w:rFonts w:hint="eastAsia"/>
              </w:rPr>
              <w:t>㎡</w:t>
            </w:r>
          </w:p>
        </w:tc>
        <w:tc>
          <w:tcPr>
            <w:tcW w:w="1776" w:type="dxa"/>
          </w:tcPr>
          <w:p>
            <w:pPr>
              <w:spacing w:line="240" w:lineRule="auto"/>
            </w:pPr>
            <w:r>
              <w:rPr>
                <w:rFonts w:hint="eastAsia"/>
              </w:rPr>
              <w:t>98284.34</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continue"/>
          </w:tcPr>
          <w:p>
            <w:pPr>
              <w:spacing w:line="240" w:lineRule="auto"/>
            </w:pPr>
          </w:p>
        </w:tc>
        <w:tc>
          <w:tcPr>
            <w:tcW w:w="2660" w:type="dxa"/>
            <w:gridSpan w:val="2"/>
          </w:tcPr>
          <w:p>
            <w:pPr>
              <w:spacing w:line="240" w:lineRule="auto"/>
            </w:pPr>
            <w:r>
              <w:rPr>
                <w:rFonts w:hint="eastAsia"/>
              </w:rPr>
              <w:t>非居住建筑</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8045.67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continue"/>
          </w:tcPr>
          <w:p>
            <w:pPr>
              <w:spacing w:line="240" w:lineRule="auto"/>
            </w:pPr>
          </w:p>
        </w:tc>
        <w:tc>
          <w:tcPr>
            <w:tcW w:w="700" w:type="dxa"/>
            <w:vMerge w:val="restart"/>
          </w:tcPr>
          <w:p>
            <w:pPr>
              <w:spacing w:line="240" w:lineRule="auto"/>
            </w:pPr>
            <w:r>
              <w:rPr>
                <w:rFonts w:hint="eastAsia"/>
              </w:rPr>
              <w:t>其中</w:t>
            </w:r>
          </w:p>
        </w:tc>
        <w:tc>
          <w:tcPr>
            <w:tcW w:w="1960" w:type="dxa"/>
          </w:tcPr>
          <w:p>
            <w:pPr>
              <w:spacing w:line="240" w:lineRule="auto"/>
            </w:pPr>
            <w:r>
              <w:rPr>
                <w:rFonts w:hint="eastAsia"/>
              </w:rPr>
              <w:t>幼儿园</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4320.69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商业</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1839.91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社区居委会</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200.24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党员活动</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200.86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物业管理用房</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300.00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社区图书馆</w:t>
            </w:r>
          </w:p>
        </w:tc>
        <w:tc>
          <w:tcPr>
            <w:tcW w:w="1194" w:type="dxa"/>
          </w:tcPr>
          <w:p>
            <w:pPr>
              <w:spacing w:line="240" w:lineRule="auto"/>
            </w:pPr>
            <w:r>
              <w:rPr>
                <w:rFonts w:hint="eastAsia"/>
              </w:rPr>
              <w:t>　</w:t>
            </w:r>
          </w:p>
        </w:tc>
        <w:tc>
          <w:tcPr>
            <w:tcW w:w="1776" w:type="dxa"/>
          </w:tcPr>
          <w:p>
            <w:pPr>
              <w:spacing w:line="240" w:lineRule="auto"/>
            </w:pPr>
            <w:r>
              <w:rPr>
                <w:rFonts w:hint="eastAsia"/>
              </w:rPr>
              <w:t xml:space="preserve">200.34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星光老年之家</w:t>
            </w:r>
          </w:p>
        </w:tc>
        <w:tc>
          <w:tcPr>
            <w:tcW w:w="1194" w:type="dxa"/>
          </w:tcPr>
          <w:p>
            <w:pPr>
              <w:spacing w:line="240" w:lineRule="auto"/>
            </w:pPr>
            <w:r>
              <w:rPr>
                <w:rFonts w:hint="eastAsia"/>
              </w:rPr>
              <w:t>　</w:t>
            </w:r>
          </w:p>
        </w:tc>
        <w:tc>
          <w:tcPr>
            <w:tcW w:w="1776" w:type="dxa"/>
          </w:tcPr>
          <w:p>
            <w:pPr>
              <w:spacing w:line="240" w:lineRule="auto"/>
            </w:pPr>
            <w:r>
              <w:rPr>
                <w:rFonts w:hint="eastAsia"/>
              </w:rPr>
              <w:t xml:space="preserve">200.85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社区卫生</w:t>
            </w:r>
          </w:p>
        </w:tc>
        <w:tc>
          <w:tcPr>
            <w:tcW w:w="1194" w:type="dxa"/>
          </w:tcPr>
          <w:p>
            <w:pPr>
              <w:spacing w:line="240" w:lineRule="auto"/>
            </w:pPr>
            <w:r>
              <w:rPr>
                <w:rFonts w:hint="eastAsia"/>
              </w:rPr>
              <w:t>　</w:t>
            </w:r>
          </w:p>
        </w:tc>
        <w:tc>
          <w:tcPr>
            <w:tcW w:w="1776" w:type="dxa"/>
          </w:tcPr>
          <w:p>
            <w:pPr>
              <w:spacing w:line="240" w:lineRule="auto"/>
            </w:pPr>
            <w:r>
              <w:rPr>
                <w:rFonts w:hint="eastAsia"/>
              </w:rPr>
              <w:t xml:space="preserve">250.12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社区综治办</w:t>
            </w:r>
          </w:p>
        </w:tc>
        <w:tc>
          <w:tcPr>
            <w:tcW w:w="1194" w:type="dxa"/>
          </w:tcPr>
          <w:p>
            <w:pPr>
              <w:spacing w:line="240" w:lineRule="auto"/>
            </w:pPr>
            <w:r>
              <w:rPr>
                <w:rFonts w:hint="eastAsia"/>
              </w:rPr>
              <w:t>　</w:t>
            </w:r>
          </w:p>
        </w:tc>
        <w:tc>
          <w:tcPr>
            <w:tcW w:w="1776" w:type="dxa"/>
          </w:tcPr>
          <w:p>
            <w:pPr>
              <w:spacing w:line="240" w:lineRule="auto"/>
            </w:pPr>
            <w:r>
              <w:rPr>
                <w:rFonts w:hint="eastAsia"/>
              </w:rPr>
              <w:t xml:space="preserve">50.18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社区警务</w:t>
            </w:r>
          </w:p>
        </w:tc>
        <w:tc>
          <w:tcPr>
            <w:tcW w:w="1194" w:type="dxa"/>
          </w:tcPr>
          <w:p>
            <w:pPr>
              <w:spacing w:line="240" w:lineRule="auto"/>
            </w:pPr>
            <w:r>
              <w:rPr>
                <w:rFonts w:hint="eastAsia"/>
              </w:rPr>
              <w:t>㎡</w:t>
            </w:r>
          </w:p>
        </w:tc>
        <w:tc>
          <w:tcPr>
            <w:tcW w:w="1776" w:type="dxa"/>
          </w:tcPr>
          <w:p>
            <w:pPr>
              <w:spacing w:line="240" w:lineRule="auto"/>
            </w:pPr>
            <w:r>
              <w:rPr>
                <w:rFonts w:hint="eastAsia"/>
              </w:rPr>
              <w:t>50.59</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消控制室</w:t>
            </w:r>
          </w:p>
        </w:tc>
        <w:tc>
          <w:tcPr>
            <w:tcW w:w="1194" w:type="dxa"/>
          </w:tcPr>
          <w:p>
            <w:pPr>
              <w:spacing w:line="240" w:lineRule="auto"/>
            </w:pPr>
            <w:r>
              <w:rPr>
                <w:rFonts w:hint="eastAsia"/>
              </w:rPr>
              <w:t>㎡</w:t>
            </w:r>
          </w:p>
        </w:tc>
        <w:tc>
          <w:tcPr>
            <w:tcW w:w="1776" w:type="dxa"/>
          </w:tcPr>
          <w:p>
            <w:pPr>
              <w:spacing w:line="240" w:lineRule="auto"/>
            </w:pPr>
            <w:r>
              <w:rPr>
                <w:rFonts w:hint="eastAsia"/>
              </w:rPr>
              <w:t>60</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变配电用房</w:t>
            </w:r>
          </w:p>
        </w:tc>
        <w:tc>
          <w:tcPr>
            <w:tcW w:w="1194" w:type="dxa"/>
          </w:tcPr>
          <w:p>
            <w:pPr>
              <w:spacing w:line="240" w:lineRule="auto"/>
            </w:pPr>
            <w:r>
              <w:rPr>
                <w:rFonts w:hint="eastAsia"/>
              </w:rPr>
              <w:t>㎡</w:t>
            </w:r>
          </w:p>
        </w:tc>
        <w:tc>
          <w:tcPr>
            <w:tcW w:w="1776" w:type="dxa"/>
          </w:tcPr>
          <w:p>
            <w:pPr>
              <w:spacing w:line="240" w:lineRule="auto"/>
            </w:pPr>
            <w:r>
              <w:rPr>
                <w:rFonts w:hint="eastAsia"/>
              </w:rPr>
              <w:t>339.98</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00" w:type="dxa"/>
            <w:vMerge w:val="continue"/>
          </w:tcPr>
          <w:p>
            <w:pPr>
              <w:spacing w:line="240" w:lineRule="auto"/>
            </w:pPr>
          </w:p>
        </w:tc>
        <w:tc>
          <w:tcPr>
            <w:tcW w:w="700" w:type="dxa"/>
            <w:vMerge w:val="continue"/>
          </w:tcPr>
          <w:p>
            <w:pPr>
              <w:spacing w:line="240" w:lineRule="auto"/>
            </w:pPr>
          </w:p>
        </w:tc>
        <w:tc>
          <w:tcPr>
            <w:tcW w:w="1960" w:type="dxa"/>
          </w:tcPr>
          <w:p>
            <w:pPr>
              <w:spacing w:line="240" w:lineRule="auto"/>
            </w:pPr>
            <w:r>
              <w:rPr>
                <w:rFonts w:hint="eastAsia"/>
              </w:rPr>
              <w:t>公厕</w:t>
            </w:r>
          </w:p>
        </w:tc>
        <w:tc>
          <w:tcPr>
            <w:tcW w:w="1194" w:type="dxa"/>
          </w:tcPr>
          <w:p>
            <w:pPr>
              <w:spacing w:line="240" w:lineRule="auto"/>
            </w:pPr>
            <w:r>
              <w:rPr>
                <w:rFonts w:hint="eastAsia"/>
              </w:rPr>
              <w:t>㎡</w:t>
            </w:r>
          </w:p>
        </w:tc>
        <w:tc>
          <w:tcPr>
            <w:tcW w:w="1776" w:type="dxa"/>
          </w:tcPr>
          <w:p>
            <w:pPr>
              <w:spacing w:line="240" w:lineRule="auto"/>
            </w:pPr>
            <w:r>
              <w:rPr>
                <w:rFonts w:hint="eastAsia"/>
              </w:rPr>
              <w:t>31.92</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360" w:type="dxa"/>
            <w:gridSpan w:val="3"/>
          </w:tcPr>
          <w:p>
            <w:pPr>
              <w:spacing w:line="240" w:lineRule="auto"/>
            </w:pPr>
            <w:r>
              <w:rPr>
                <w:rFonts w:hint="eastAsia"/>
              </w:rPr>
              <w:t>屋顶机房（不计容）</w:t>
            </w:r>
          </w:p>
        </w:tc>
        <w:tc>
          <w:tcPr>
            <w:tcW w:w="1194" w:type="dxa"/>
          </w:tcPr>
          <w:p>
            <w:pPr>
              <w:spacing w:line="240" w:lineRule="auto"/>
            </w:pPr>
            <w:r>
              <w:rPr>
                <w:rFonts w:hint="eastAsia"/>
              </w:rPr>
              <w:t>㎡</w:t>
            </w:r>
          </w:p>
        </w:tc>
        <w:tc>
          <w:tcPr>
            <w:tcW w:w="1776" w:type="dxa"/>
          </w:tcPr>
          <w:p>
            <w:pPr>
              <w:spacing w:line="240" w:lineRule="auto"/>
            </w:pPr>
            <w:r>
              <w:rPr>
                <w:rFonts w:hint="eastAsia"/>
              </w:rPr>
              <w:t>356.82</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360" w:type="dxa"/>
            <w:gridSpan w:val="3"/>
          </w:tcPr>
          <w:p>
            <w:pPr>
              <w:spacing w:line="240" w:lineRule="auto"/>
            </w:pPr>
            <w:r>
              <w:rPr>
                <w:rFonts w:hint="eastAsia"/>
              </w:rPr>
              <w:t>架空层</w:t>
            </w:r>
          </w:p>
        </w:tc>
        <w:tc>
          <w:tcPr>
            <w:tcW w:w="1194" w:type="dxa"/>
          </w:tcPr>
          <w:p>
            <w:pPr>
              <w:spacing w:line="240" w:lineRule="auto"/>
            </w:pPr>
            <w:r>
              <w:rPr>
                <w:rFonts w:hint="eastAsia"/>
              </w:rPr>
              <w:t>㎡</w:t>
            </w:r>
          </w:p>
        </w:tc>
        <w:tc>
          <w:tcPr>
            <w:tcW w:w="1776" w:type="dxa"/>
          </w:tcPr>
          <w:p>
            <w:pPr>
              <w:spacing w:line="240" w:lineRule="auto"/>
            </w:pPr>
            <w:r>
              <w:rPr>
                <w:rFonts w:hint="eastAsia"/>
              </w:rPr>
              <w:t>2795.09</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360" w:type="dxa"/>
            <w:gridSpan w:val="3"/>
          </w:tcPr>
          <w:p>
            <w:pPr>
              <w:spacing w:line="240" w:lineRule="auto"/>
            </w:pPr>
            <w:r>
              <w:rPr>
                <w:rFonts w:hint="eastAsia"/>
              </w:rPr>
              <w:t>地下建筑面积</w:t>
            </w:r>
          </w:p>
        </w:tc>
        <w:tc>
          <w:tcPr>
            <w:tcW w:w="1194" w:type="dxa"/>
          </w:tcPr>
          <w:p>
            <w:pPr>
              <w:spacing w:line="240" w:lineRule="auto"/>
            </w:pPr>
            <w:r>
              <w:rPr>
                <w:rFonts w:hint="eastAsia"/>
              </w:rPr>
              <w:t>㎡</w:t>
            </w:r>
          </w:p>
        </w:tc>
        <w:tc>
          <w:tcPr>
            <w:tcW w:w="1776" w:type="dxa"/>
          </w:tcPr>
          <w:p>
            <w:pPr>
              <w:spacing w:line="240" w:lineRule="auto"/>
            </w:pPr>
            <w:r>
              <w:rPr>
                <w:rFonts w:hint="eastAsia"/>
              </w:rPr>
              <w:t xml:space="preserve">59807.54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00" w:type="dxa"/>
          </w:tcPr>
          <w:p>
            <w:pPr>
              <w:spacing w:line="240" w:lineRule="auto"/>
            </w:pPr>
            <w:r>
              <w:rPr>
                <w:rFonts w:hint="eastAsia"/>
              </w:rPr>
              <w:t>其中</w:t>
            </w:r>
          </w:p>
        </w:tc>
        <w:tc>
          <w:tcPr>
            <w:tcW w:w="2660" w:type="dxa"/>
            <w:gridSpan w:val="2"/>
          </w:tcPr>
          <w:p>
            <w:pPr>
              <w:spacing w:line="240" w:lineRule="auto"/>
            </w:pPr>
            <w:r>
              <w:rPr>
                <w:rFonts w:hint="eastAsia"/>
              </w:rPr>
              <w:t>人防面积</w:t>
            </w:r>
          </w:p>
        </w:tc>
        <w:tc>
          <w:tcPr>
            <w:tcW w:w="1194" w:type="dxa"/>
          </w:tcPr>
          <w:p>
            <w:pPr>
              <w:spacing w:line="240" w:lineRule="auto"/>
            </w:pPr>
            <w:r>
              <w:rPr>
                <w:rFonts w:hint="eastAsia"/>
              </w:rPr>
              <w:t>㎡</w:t>
            </w:r>
          </w:p>
        </w:tc>
        <w:tc>
          <w:tcPr>
            <w:tcW w:w="1776" w:type="dxa"/>
          </w:tcPr>
          <w:p>
            <w:pPr>
              <w:spacing w:line="240" w:lineRule="auto"/>
            </w:pPr>
            <w:r>
              <w:rPr>
                <w:rFonts w:hint="eastAsia"/>
              </w:rPr>
              <w:t>4796.11</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容积率</w:t>
            </w:r>
          </w:p>
        </w:tc>
        <w:tc>
          <w:tcPr>
            <w:tcW w:w="2970" w:type="dxa"/>
            <w:gridSpan w:val="2"/>
          </w:tcPr>
          <w:p>
            <w:pPr>
              <w:spacing w:line="240" w:lineRule="auto"/>
            </w:pPr>
            <w:r>
              <w:rPr>
                <w:rFonts w:hint="eastAsia"/>
              </w:rPr>
              <w:t xml:space="preserve">3.00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建筑占地面积</w:t>
            </w:r>
          </w:p>
        </w:tc>
        <w:tc>
          <w:tcPr>
            <w:tcW w:w="2970" w:type="dxa"/>
            <w:gridSpan w:val="2"/>
          </w:tcPr>
          <w:p>
            <w:pPr>
              <w:spacing w:line="240" w:lineRule="auto"/>
            </w:pPr>
            <w:r>
              <w:rPr>
                <w:rFonts w:hint="eastAsia"/>
              </w:rPr>
              <w:t xml:space="preserve">7567.64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建筑密度</w:t>
            </w:r>
          </w:p>
        </w:tc>
        <w:tc>
          <w:tcPr>
            <w:tcW w:w="2970" w:type="dxa"/>
            <w:gridSpan w:val="2"/>
          </w:tcPr>
          <w:p>
            <w:pPr>
              <w:spacing w:line="240" w:lineRule="auto"/>
            </w:pPr>
            <w:r>
              <w:rPr>
                <w:rFonts w:hint="eastAsia"/>
              </w:rPr>
              <w:t>17.29%</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绿地面积</w:t>
            </w:r>
          </w:p>
        </w:tc>
        <w:tc>
          <w:tcPr>
            <w:tcW w:w="2970" w:type="dxa"/>
            <w:gridSpan w:val="2"/>
          </w:tcPr>
          <w:p>
            <w:pPr>
              <w:spacing w:line="240" w:lineRule="auto"/>
            </w:pPr>
            <w:r>
              <w:rPr>
                <w:rFonts w:hint="eastAsia"/>
              </w:rPr>
              <w:t>15315.902</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绿地率</w:t>
            </w:r>
          </w:p>
        </w:tc>
        <w:tc>
          <w:tcPr>
            <w:tcW w:w="2970" w:type="dxa"/>
            <w:gridSpan w:val="2"/>
          </w:tcPr>
          <w:p>
            <w:pPr>
              <w:spacing w:line="240" w:lineRule="auto"/>
            </w:pPr>
            <w:r>
              <w:rPr>
                <w:rFonts w:hint="eastAsia"/>
              </w:rPr>
              <w:t>35%</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住宅总套数</w:t>
            </w:r>
          </w:p>
        </w:tc>
        <w:tc>
          <w:tcPr>
            <w:tcW w:w="2970" w:type="dxa"/>
            <w:gridSpan w:val="2"/>
          </w:tcPr>
          <w:p>
            <w:pPr>
              <w:spacing w:line="240" w:lineRule="auto"/>
            </w:pPr>
            <w:r>
              <w:rPr>
                <w:rFonts w:hint="eastAsia"/>
              </w:rPr>
              <w:t>1084</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gridSpan w:val="3"/>
          </w:tcPr>
          <w:p>
            <w:pPr>
              <w:spacing w:line="240" w:lineRule="auto"/>
            </w:pPr>
            <w:r>
              <w:rPr>
                <w:rFonts w:hint="eastAsia"/>
              </w:rPr>
              <w:t>机动车停车位</w:t>
            </w:r>
          </w:p>
        </w:tc>
        <w:tc>
          <w:tcPr>
            <w:tcW w:w="1194" w:type="dxa"/>
          </w:tcPr>
          <w:p>
            <w:pPr>
              <w:spacing w:line="240" w:lineRule="auto"/>
            </w:pPr>
            <w:r>
              <w:rPr>
                <w:rFonts w:hint="eastAsia"/>
              </w:rPr>
              <w:t>辆</w:t>
            </w:r>
          </w:p>
        </w:tc>
        <w:tc>
          <w:tcPr>
            <w:tcW w:w="1776" w:type="dxa"/>
          </w:tcPr>
          <w:p>
            <w:pPr>
              <w:spacing w:line="240" w:lineRule="auto"/>
            </w:pPr>
            <w:r>
              <w:rPr>
                <w:rFonts w:hint="eastAsia"/>
              </w:rPr>
              <w:t xml:space="preserve">1809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restart"/>
          </w:tcPr>
          <w:p>
            <w:pPr>
              <w:spacing w:line="240" w:lineRule="auto"/>
            </w:pPr>
            <w:r>
              <w:rPr>
                <w:rFonts w:hint="eastAsia"/>
              </w:rPr>
              <w:t>其中</w:t>
            </w:r>
          </w:p>
        </w:tc>
        <w:tc>
          <w:tcPr>
            <w:tcW w:w="2660" w:type="dxa"/>
            <w:gridSpan w:val="2"/>
          </w:tcPr>
          <w:p>
            <w:pPr>
              <w:spacing w:line="240" w:lineRule="auto"/>
            </w:pPr>
            <w:r>
              <w:rPr>
                <w:rFonts w:hint="eastAsia"/>
              </w:rPr>
              <w:t>地下停车位</w:t>
            </w:r>
          </w:p>
        </w:tc>
        <w:tc>
          <w:tcPr>
            <w:tcW w:w="1194" w:type="dxa"/>
          </w:tcPr>
          <w:p>
            <w:pPr>
              <w:spacing w:line="240" w:lineRule="auto"/>
            </w:pPr>
            <w:r>
              <w:rPr>
                <w:rFonts w:hint="eastAsia"/>
              </w:rPr>
              <w:t>辆</w:t>
            </w:r>
          </w:p>
        </w:tc>
        <w:tc>
          <w:tcPr>
            <w:tcW w:w="1776" w:type="dxa"/>
          </w:tcPr>
          <w:p>
            <w:pPr>
              <w:spacing w:line="240" w:lineRule="auto"/>
            </w:pPr>
            <w:r>
              <w:rPr>
                <w:rFonts w:hint="eastAsia"/>
              </w:rPr>
              <w:t xml:space="preserve">1787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2660" w:type="dxa"/>
            <w:gridSpan w:val="2"/>
          </w:tcPr>
          <w:p>
            <w:pPr>
              <w:spacing w:line="240" w:lineRule="auto"/>
            </w:pPr>
            <w:r>
              <w:rPr>
                <w:rFonts w:hint="eastAsia"/>
              </w:rPr>
              <w:t>地面停车位</w:t>
            </w:r>
          </w:p>
        </w:tc>
        <w:tc>
          <w:tcPr>
            <w:tcW w:w="1194" w:type="dxa"/>
          </w:tcPr>
          <w:p>
            <w:pPr>
              <w:spacing w:line="240" w:lineRule="auto"/>
            </w:pPr>
            <w:r>
              <w:rPr>
                <w:rFonts w:hint="eastAsia"/>
              </w:rPr>
              <w:t>辆</w:t>
            </w:r>
          </w:p>
        </w:tc>
        <w:tc>
          <w:tcPr>
            <w:tcW w:w="1776" w:type="dxa"/>
          </w:tcPr>
          <w:p>
            <w:pPr>
              <w:spacing w:line="240" w:lineRule="auto"/>
            </w:pPr>
            <w:r>
              <w:rPr>
                <w:rFonts w:hint="eastAsia"/>
              </w:rPr>
              <w:t xml:space="preserve">22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3360" w:type="dxa"/>
            <w:gridSpan w:val="3"/>
          </w:tcPr>
          <w:p>
            <w:pPr>
              <w:spacing w:line="240" w:lineRule="auto"/>
            </w:pPr>
            <w:r>
              <w:rPr>
                <w:rFonts w:hint="eastAsia"/>
              </w:rPr>
              <w:t>非机动车停车位</w:t>
            </w:r>
          </w:p>
        </w:tc>
        <w:tc>
          <w:tcPr>
            <w:tcW w:w="1194" w:type="dxa"/>
          </w:tcPr>
          <w:p>
            <w:pPr>
              <w:spacing w:line="240" w:lineRule="auto"/>
            </w:pPr>
            <w:r>
              <w:rPr>
                <w:rFonts w:hint="eastAsia"/>
              </w:rPr>
              <w:t>辆</w:t>
            </w:r>
          </w:p>
        </w:tc>
        <w:tc>
          <w:tcPr>
            <w:tcW w:w="1776" w:type="dxa"/>
          </w:tcPr>
          <w:p>
            <w:pPr>
              <w:spacing w:line="240" w:lineRule="auto"/>
            </w:pPr>
            <w:r>
              <w:rPr>
                <w:rFonts w:hint="eastAsia"/>
              </w:rPr>
              <w:t xml:space="preserve">398 </w:t>
            </w:r>
          </w:p>
        </w:tc>
        <w:tc>
          <w:tcPr>
            <w:tcW w:w="1983" w:type="dxa"/>
          </w:tcPr>
          <w:p>
            <w:pPr>
              <w:spacing w:line="240" w:lineRule="auto"/>
            </w:pPr>
            <w:r>
              <w:rPr>
                <w:rFonts w:hint="eastAsia"/>
              </w:rPr>
              <w:t>按0.3辆/100㎡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restart"/>
          </w:tcPr>
          <w:p>
            <w:pPr>
              <w:spacing w:line="240" w:lineRule="auto"/>
            </w:pPr>
            <w:r>
              <w:rPr>
                <w:rFonts w:hint="eastAsia"/>
              </w:rPr>
              <w:t>其中</w:t>
            </w:r>
          </w:p>
        </w:tc>
        <w:tc>
          <w:tcPr>
            <w:tcW w:w="2660" w:type="dxa"/>
            <w:gridSpan w:val="2"/>
          </w:tcPr>
          <w:p>
            <w:pPr>
              <w:spacing w:line="240" w:lineRule="auto"/>
            </w:pPr>
            <w:r>
              <w:rPr>
                <w:rFonts w:hint="eastAsia"/>
              </w:rPr>
              <w:t>地下停车位</w:t>
            </w:r>
          </w:p>
        </w:tc>
        <w:tc>
          <w:tcPr>
            <w:tcW w:w="1194" w:type="dxa"/>
          </w:tcPr>
          <w:p>
            <w:pPr>
              <w:spacing w:line="240" w:lineRule="auto"/>
            </w:pPr>
            <w:r>
              <w:rPr>
                <w:rFonts w:hint="eastAsia"/>
              </w:rPr>
              <w:t>辆</w:t>
            </w:r>
          </w:p>
        </w:tc>
        <w:tc>
          <w:tcPr>
            <w:tcW w:w="1776" w:type="dxa"/>
          </w:tcPr>
          <w:p>
            <w:pPr>
              <w:spacing w:line="240" w:lineRule="auto"/>
            </w:pPr>
            <w:r>
              <w:rPr>
                <w:rFonts w:hint="eastAsia"/>
              </w:rPr>
              <w:t xml:space="preserve">0 </w:t>
            </w:r>
          </w:p>
        </w:tc>
        <w:tc>
          <w:tcPr>
            <w:tcW w:w="1983"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0" w:type="dxa"/>
            <w:vMerge w:val="continue"/>
          </w:tcPr>
          <w:p>
            <w:pPr>
              <w:spacing w:line="240" w:lineRule="auto"/>
            </w:pPr>
          </w:p>
        </w:tc>
        <w:tc>
          <w:tcPr>
            <w:tcW w:w="2660" w:type="dxa"/>
            <w:gridSpan w:val="2"/>
          </w:tcPr>
          <w:p>
            <w:pPr>
              <w:spacing w:line="240" w:lineRule="auto"/>
            </w:pPr>
            <w:r>
              <w:rPr>
                <w:rFonts w:hint="eastAsia"/>
              </w:rPr>
              <w:t>地面停车位</w:t>
            </w:r>
          </w:p>
        </w:tc>
        <w:tc>
          <w:tcPr>
            <w:tcW w:w="1194" w:type="dxa"/>
          </w:tcPr>
          <w:p>
            <w:pPr>
              <w:spacing w:line="240" w:lineRule="auto"/>
            </w:pPr>
            <w:r>
              <w:rPr>
                <w:rFonts w:hint="eastAsia"/>
              </w:rPr>
              <w:t>辆</w:t>
            </w:r>
          </w:p>
        </w:tc>
        <w:tc>
          <w:tcPr>
            <w:tcW w:w="1776" w:type="dxa"/>
          </w:tcPr>
          <w:p>
            <w:pPr>
              <w:spacing w:line="240" w:lineRule="auto"/>
            </w:pPr>
            <w:r>
              <w:rPr>
                <w:rFonts w:hint="eastAsia"/>
              </w:rPr>
              <w:t xml:space="preserve">398 </w:t>
            </w:r>
          </w:p>
        </w:tc>
        <w:tc>
          <w:tcPr>
            <w:tcW w:w="1983" w:type="dxa"/>
          </w:tcPr>
          <w:p>
            <w:pPr>
              <w:spacing w:line="240" w:lineRule="auto"/>
            </w:pPr>
            <w:r>
              <w:rPr>
                <w:rFonts w:hint="eastAsia"/>
              </w:rPr>
              <w:t>　</w:t>
            </w:r>
          </w:p>
        </w:tc>
      </w:tr>
    </w:tbl>
    <w:p>
      <w:pPr>
        <w:spacing w:line="240" w:lineRule="auto"/>
      </w:pPr>
    </w:p>
    <w:p>
      <w:pPr>
        <w:spacing w:line="240" w:lineRule="auto"/>
        <w:jc w:val="center"/>
      </w:pPr>
      <w:r>
        <w:rPr>
          <w:rFonts w:hint="eastAsia"/>
        </w:rPr>
        <w:t>桂湾府地块主要</w:t>
      </w:r>
      <w:r>
        <w:t>经济技术指标表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80"/>
        <w:gridCol w:w="1830"/>
        <w:gridCol w:w="1223"/>
        <w:gridCol w:w="1786"/>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30" w:type="dxa"/>
            <w:gridSpan w:val="3"/>
          </w:tcPr>
          <w:p>
            <w:pPr>
              <w:spacing w:line="240" w:lineRule="auto"/>
            </w:pPr>
            <w:r>
              <w:rPr>
                <w:rFonts w:hint="eastAsia"/>
              </w:rPr>
              <w:t>指标名称</w:t>
            </w:r>
          </w:p>
        </w:tc>
        <w:tc>
          <w:tcPr>
            <w:tcW w:w="1223" w:type="dxa"/>
          </w:tcPr>
          <w:p>
            <w:pPr>
              <w:spacing w:line="240" w:lineRule="auto"/>
            </w:pPr>
            <w:r>
              <w:rPr>
                <w:rFonts w:hint="eastAsia"/>
              </w:rPr>
              <w:t>单位</w:t>
            </w:r>
          </w:p>
        </w:tc>
        <w:tc>
          <w:tcPr>
            <w:tcW w:w="1786" w:type="dxa"/>
          </w:tcPr>
          <w:p>
            <w:pPr>
              <w:spacing w:line="240" w:lineRule="auto"/>
            </w:pPr>
            <w:r>
              <w:rPr>
                <w:rFonts w:hint="eastAsia"/>
              </w:rPr>
              <w:t>数量</w:t>
            </w:r>
          </w:p>
        </w:tc>
        <w:tc>
          <w:tcPr>
            <w:tcW w:w="1957" w:type="dxa"/>
          </w:tcPr>
          <w:p>
            <w:pPr>
              <w:spacing w:line="240" w:lineRule="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330" w:type="dxa"/>
            <w:gridSpan w:val="3"/>
          </w:tcPr>
          <w:p>
            <w:pPr>
              <w:spacing w:line="240" w:lineRule="auto"/>
            </w:pPr>
            <w:r>
              <w:rPr>
                <w:rFonts w:hint="eastAsia"/>
              </w:rPr>
              <w:t>建设用地面积</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46396.00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30" w:type="dxa"/>
            <w:gridSpan w:val="3"/>
          </w:tcPr>
          <w:p>
            <w:pPr>
              <w:spacing w:line="240" w:lineRule="auto"/>
            </w:pPr>
            <w:r>
              <w:rPr>
                <w:rFonts w:hint="eastAsia"/>
              </w:rPr>
              <w:t>总建筑面积</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212148.44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330" w:type="dxa"/>
            <w:gridSpan w:val="3"/>
          </w:tcPr>
          <w:p>
            <w:pPr>
              <w:spacing w:line="240" w:lineRule="auto"/>
            </w:pPr>
            <w:r>
              <w:rPr>
                <w:rFonts w:hint="eastAsia"/>
              </w:rPr>
              <w:t>地上总建筑面积</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142857.55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330" w:type="dxa"/>
            <w:gridSpan w:val="3"/>
          </w:tcPr>
          <w:p>
            <w:pPr>
              <w:spacing w:line="240" w:lineRule="auto"/>
            </w:pPr>
            <w:r>
              <w:rPr>
                <w:rFonts w:hint="eastAsia"/>
              </w:rPr>
              <w:t>地上计容建筑面积</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139187.11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restart"/>
            <w:noWrap/>
          </w:tcPr>
          <w:p>
            <w:pPr>
              <w:spacing w:line="240" w:lineRule="auto"/>
            </w:pPr>
            <w:r>
              <w:rPr>
                <w:rFonts w:hint="eastAsia"/>
              </w:rPr>
              <w:t>其中</w:t>
            </w:r>
          </w:p>
        </w:tc>
        <w:tc>
          <w:tcPr>
            <w:tcW w:w="2610" w:type="dxa"/>
            <w:gridSpan w:val="2"/>
          </w:tcPr>
          <w:p>
            <w:pPr>
              <w:spacing w:line="240" w:lineRule="auto"/>
            </w:pPr>
            <w:r>
              <w:rPr>
                <w:rFonts w:hint="eastAsia"/>
              </w:rPr>
              <w:t>居住建筑</w:t>
            </w:r>
          </w:p>
        </w:tc>
        <w:tc>
          <w:tcPr>
            <w:tcW w:w="1223" w:type="dxa"/>
          </w:tcPr>
          <w:p>
            <w:pPr>
              <w:spacing w:line="240" w:lineRule="auto"/>
            </w:pPr>
            <w:r>
              <w:rPr>
                <w:rFonts w:hint="eastAsia"/>
              </w:rPr>
              <w:t>㎡</w:t>
            </w:r>
          </w:p>
        </w:tc>
        <w:tc>
          <w:tcPr>
            <w:tcW w:w="1786" w:type="dxa"/>
          </w:tcPr>
          <w:p>
            <w:pPr>
              <w:spacing w:line="240" w:lineRule="auto"/>
            </w:pPr>
            <w:r>
              <w:rPr>
                <w:rFonts w:hint="eastAsia"/>
              </w:rPr>
              <w:t>134629.65</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restart"/>
            <w:noWrap/>
          </w:tcPr>
          <w:p>
            <w:pPr>
              <w:spacing w:line="240" w:lineRule="auto"/>
            </w:pPr>
            <w:r>
              <w:rPr>
                <w:rFonts w:hint="eastAsia"/>
              </w:rPr>
              <w:t>其中</w:t>
            </w:r>
          </w:p>
        </w:tc>
        <w:tc>
          <w:tcPr>
            <w:tcW w:w="1830" w:type="dxa"/>
          </w:tcPr>
          <w:p>
            <w:pPr>
              <w:spacing w:line="240" w:lineRule="auto"/>
            </w:pPr>
            <w:r>
              <w:rPr>
                <w:rFonts w:hint="eastAsia"/>
              </w:rPr>
              <w:t>配建商品住房</w:t>
            </w:r>
          </w:p>
        </w:tc>
        <w:tc>
          <w:tcPr>
            <w:tcW w:w="1223" w:type="dxa"/>
          </w:tcPr>
          <w:p>
            <w:pPr>
              <w:spacing w:line="240" w:lineRule="auto"/>
            </w:pPr>
            <w:r>
              <w:rPr>
                <w:rFonts w:hint="eastAsia"/>
              </w:rPr>
              <w:t>㎡</w:t>
            </w:r>
          </w:p>
        </w:tc>
        <w:tc>
          <w:tcPr>
            <w:tcW w:w="1786" w:type="dxa"/>
          </w:tcPr>
          <w:p>
            <w:pPr>
              <w:spacing w:line="240" w:lineRule="auto"/>
            </w:pPr>
            <w:r>
              <w:rPr>
                <w:rFonts w:hint="eastAsia"/>
              </w:rPr>
              <w:t>26446.61</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100米高层住宅</w:t>
            </w:r>
          </w:p>
        </w:tc>
        <w:tc>
          <w:tcPr>
            <w:tcW w:w="1223" w:type="dxa"/>
          </w:tcPr>
          <w:p>
            <w:pPr>
              <w:spacing w:line="240" w:lineRule="auto"/>
            </w:pPr>
            <w:r>
              <w:rPr>
                <w:rFonts w:hint="eastAsia"/>
              </w:rPr>
              <w:t>㎡</w:t>
            </w:r>
          </w:p>
        </w:tc>
        <w:tc>
          <w:tcPr>
            <w:tcW w:w="1786" w:type="dxa"/>
          </w:tcPr>
          <w:p>
            <w:pPr>
              <w:spacing w:line="240" w:lineRule="auto"/>
            </w:pPr>
            <w:r>
              <w:rPr>
                <w:rFonts w:hint="eastAsia"/>
              </w:rPr>
              <w:t>108183.04</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2610" w:type="dxa"/>
            <w:gridSpan w:val="2"/>
          </w:tcPr>
          <w:p>
            <w:pPr>
              <w:spacing w:line="240" w:lineRule="auto"/>
            </w:pPr>
            <w:r>
              <w:rPr>
                <w:rFonts w:hint="eastAsia"/>
              </w:rPr>
              <w:t>非居住建筑</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4557.46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restart"/>
          </w:tcPr>
          <w:p>
            <w:pPr>
              <w:spacing w:line="240" w:lineRule="auto"/>
            </w:pPr>
            <w:r>
              <w:rPr>
                <w:rFonts w:hint="eastAsia"/>
              </w:rPr>
              <w:t>　</w:t>
            </w:r>
          </w:p>
        </w:tc>
        <w:tc>
          <w:tcPr>
            <w:tcW w:w="1830" w:type="dxa"/>
          </w:tcPr>
          <w:p>
            <w:pPr>
              <w:spacing w:line="240" w:lineRule="auto"/>
            </w:pPr>
            <w:r>
              <w:rPr>
                <w:rFonts w:hint="eastAsia"/>
              </w:rPr>
              <w:t>商业</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2582.91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社区居委会</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200.40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党员活动</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200.50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物业管理用房</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300.03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社区图书馆</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200.09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星光老年之家</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200.13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社区卫生</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250.00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社区综治办</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50.32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社区警务</w:t>
            </w:r>
          </w:p>
        </w:tc>
        <w:tc>
          <w:tcPr>
            <w:tcW w:w="1223" w:type="dxa"/>
          </w:tcPr>
          <w:p>
            <w:pPr>
              <w:spacing w:line="240" w:lineRule="auto"/>
            </w:pPr>
            <w:r>
              <w:rPr>
                <w:rFonts w:hint="eastAsia"/>
              </w:rPr>
              <w:t>㎡</w:t>
            </w:r>
          </w:p>
        </w:tc>
        <w:tc>
          <w:tcPr>
            <w:tcW w:w="1786" w:type="dxa"/>
          </w:tcPr>
          <w:p>
            <w:pPr>
              <w:spacing w:line="240" w:lineRule="auto"/>
            </w:pPr>
            <w:r>
              <w:rPr>
                <w:rFonts w:hint="eastAsia"/>
              </w:rPr>
              <w:t>50.02</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消控室</w:t>
            </w:r>
          </w:p>
        </w:tc>
        <w:tc>
          <w:tcPr>
            <w:tcW w:w="1223" w:type="dxa"/>
          </w:tcPr>
          <w:p>
            <w:pPr>
              <w:spacing w:line="240" w:lineRule="auto"/>
            </w:pPr>
            <w:r>
              <w:rPr>
                <w:rFonts w:hint="eastAsia"/>
              </w:rPr>
              <w:t>㎡</w:t>
            </w:r>
          </w:p>
        </w:tc>
        <w:tc>
          <w:tcPr>
            <w:tcW w:w="1786" w:type="dxa"/>
          </w:tcPr>
          <w:p>
            <w:pPr>
              <w:spacing w:line="240" w:lineRule="auto"/>
            </w:pPr>
            <w:r>
              <w:rPr>
                <w:rFonts w:hint="eastAsia"/>
              </w:rPr>
              <w:t>49.70</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变配电用房</w:t>
            </w:r>
          </w:p>
        </w:tc>
        <w:tc>
          <w:tcPr>
            <w:tcW w:w="1223" w:type="dxa"/>
          </w:tcPr>
          <w:p>
            <w:pPr>
              <w:spacing w:line="240" w:lineRule="auto"/>
            </w:pPr>
            <w:r>
              <w:rPr>
                <w:rFonts w:hint="eastAsia"/>
              </w:rPr>
              <w:t>㎡</w:t>
            </w:r>
          </w:p>
        </w:tc>
        <w:tc>
          <w:tcPr>
            <w:tcW w:w="1786" w:type="dxa"/>
          </w:tcPr>
          <w:p>
            <w:pPr>
              <w:spacing w:line="240" w:lineRule="auto"/>
            </w:pPr>
            <w:r>
              <w:rPr>
                <w:rFonts w:hint="eastAsia"/>
              </w:rPr>
              <w:t>442.63</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dxa"/>
            <w:vMerge w:val="continue"/>
          </w:tcPr>
          <w:p>
            <w:pPr>
              <w:spacing w:line="240" w:lineRule="auto"/>
            </w:pPr>
          </w:p>
        </w:tc>
        <w:tc>
          <w:tcPr>
            <w:tcW w:w="780" w:type="dxa"/>
            <w:vMerge w:val="continue"/>
          </w:tcPr>
          <w:p>
            <w:pPr>
              <w:spacing w:line="240" w:lineRule="auto"/>
            </w:pPr>
          </w:p>
        </w:tc>
        <w:tc>
          <w:tcPr>
            <w:tcW w:w="1830" w:type="dxa"/>
          </w:tcPr>
          <w:p>
            <w:pPr>
              <w:spacing w:line="240" w:lineRule="auto"/>
            </w:pPr>
            <w:r>
              <w:rPr>
                <w:rFonts w:hint="eastAsia"/>
              </w:rPr>
              <w:t>公厕</w:t>
            </w:r>
          </w:p>
        </w:tc>
        <w:tc>
          <w:tcPr>
            <w:tcW w:w="1223" w:type="dxa"/>
          </w:tcPr>
          <w:p>
            <w:pPr>
              <w:spacing w:line="240" w:lineRule="auto"/>
            </w:pPr>
            <w:r>
              <w:rPr>
                <w:rFonts w:hint="eastAsia"/>
              </w:rPr>
              <w:t>㎡</w:t>
            </w:r>
          </w:p>
        </w:tc>
        <w:tc>
          <w:tcPr>
            <w:tcW w:w="1786" w:type="dxa"/>
          </w:tcPr>
          <w:p>
            <w:pPr>
              <w:spacing w:line="240" w:lineRule="auto"/>
            </w:pPr>
            <w:r>
              <w:rPr>
                <w:rFonts w:hint="eastAsia"/>
              </w:rPr>
              <w:t>30.73</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屋顶机房（不计容）</w:t>
            </w:r>
          </w:p>
        </w:tc>
        <w:tc>
          <w:tcPr>
            <w:tcW w:w="1223" w:type="dxa"/>
          </w:tcPr>
          <w:p>
            <w:pPr>
              <w:spacing w:line="240" w:lineRule="auto"/>
            </w:pPr>
            <w:r>
              <w:rPr>
                <w:rFonts w:hint="eastAsia"/>
              </w:rPr>
              <w:t>㎡</w:t>
            </w:r>
          </w:p>
        </w:tc>
        <w:tc>
          <w:tcPr>
            <w:tcW w:w="1786" w:type="dxa"/>
          </w:tcPr>
          <w:p>
            <w:pPr>
              <w:spacing w:line="240" w:lineRule="auto"/>
            </w:pPr>
            <w:r>
              <w:rPr>
                <w:rFonts w:hint="eastAsia"/>
              </w:rPr>
              <w:t>387.78</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架空层</w:t>
            </w:r>
          </w:p>
        </w:tc>
        <w:tc>
          <w:tcPr>
            <w:tcW w:w="1223" w:type="dxa"/>
          </w:tcPr>
          <w:p>
            <w:pPr>
              <w:spacing w:line="240" w:lineRule="auto"/>
            </w:pPr>
            <w:r>
              <w:rPr>
                <w:rFonts w:hint="eastAsia"/>
              </w:rPr>
              <w:t>㎡</w:t>
            </w:r>
          </w:p>
        </w:tc>
        <w:tc>
          <w:tcPr>
            <w:tcW w:w="1786" w:type="dxa"/>
          </w:tcPr>
          <w:p>
            <w:pPr>
              <w:spacing w:line="240" w:lineRule="auto"/>
            </w:pPr>
            <w:r>
              <w:rPr>
                <w:rFonts w:hint="eastAsia"/>
              </w:rPr>
              <w:t>3282.66</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地下建筑面积</w:t>
            </w:r>
          </w:p>
        </w:tc>
        <w:tc>
          <w:tcPr>
            <w:tcW w:w="1223" w:type="dxa"/>
          </w:tcPr>
          <w:p>
            <w:pPr>
              <w:spacing w:line="240" w:lineRule="auto"/>
            </w:pPr>
            <w:r>
              <w:rPr>
                <w:rFonts w:hint="eastAsia"/>
              </w:rPr>
              <w:t>㎡</w:t>
            </w:r>
          </w:p>
        </w:tc>
        <w:tc>
          <w:tcPr>
            <w:tcW w:w="1786" w:type="dxa"/>
          </w:tcPr>
          <w:p>
            <w:pPr>
              <w:spacing w:line="240" w:lineRule="auto"/>
            </w:pPr>
            <w:r>
              <w:rPr>
                <w:rFonts w:hint="eastAsia"/>
              </w:rPr>
              <w:t xml:space="preserve">69290.89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dxa"/>
          </w:tcPr>
          <w:p>
            <w:pPr>
              <w:spacing w:line="240" w:lineRule="auto"/>
            </w:pPr>
            <w:r>
              <w:rPr>
                <w:rFonts w:hint="eastAsia"/>
              </w:rPr>
              <w:t>其中</w:t>
            </w:r>
          </w:p>
        </w:tc>
        <w:tc>
          <w:tcPr>
            <w:tcW w:w="2610" w:type="dxa"/>
            <w:gridSpan w:val="2"/>
          </w:tcPr>
          <w:p>
            <w:pPr>
              <w:spacing w:line="240" w:lineRule="auto"/>
            </w:pPr>
            <w:r>
              <w:rPr>
                <w:rFonts w:hint="eastAsia"/>
              </w:rPr>
              <w:t>人防建筑面积</w:t>
            </w:r>
          </w:p>
        </w:tc>
        <w:tc>
          <w:tcPr>
            <w:tcW w:w="1223" w:type="dxa"/>
          </w:tcPr>
          <w:p>
            <w:pPr>
              <w:spacing w:line="240" w:lineRule="auto"/>
            </w:pPr>
            <w:r>
              <w:rPr>
                <w:rFonts w:hint="eastAsia"/>
              </w:rPr>
              <w:t>㎡</w:t>
            </w:r>
          </w:p>
        </w:tc>
        <w:tc>
          <w:tcPr>
            <w:tcW w:w="1786" w:type="dxa"/>
          </w:tcPr>
          <w:p>
            <w:pPr>
              <w:spacing w:line="240" w:lineRule="auto"/>
            </w:pPr>
            <w:r>
              <w:rPr>
                <w:rFonts w:hint="eastAsia"/>
              </w:rPr>
              <w:t>4760.90</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容积率</w:t>
            </w:r>
          </w:p>
        </w:tc>
        <w:tc>
          <w:tcPr>
            <w:tcW w:w="3009" w:type="dxa"/>
            <w:gridSpan w:val="2"/>
          </w:tcPr>
          <w:p>
            <w:pPr>
              <w:spacing w:line="240" w:lineRule="auto"/>
            </w:pPr>
            <w:r>
              <w:rPr>
                <w:rFonts w:hint="eastAsia"/>
              </w:rPr>
              <w:t xml:space="preserve">3.00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建筑占地面积</w:t>
            </w:r>
          </w:p>
        </w:tc>
        <w:tc>
          <w:tcPr>
            <w:tcW w:w="3009" w:type="dxa"/>
            <w:gridSpan w:val="2"/>
          </w:tcPr>
          <w:p>
            <w:pPr>
              <w:spacing w:line="240" w:lineRule="auto"/>
            </w:pPr>
            <w:r>
              <w:rPr>
                <w:rFonts w:hint="eastAsia"/>
              </w:rPr>
              <w:t xml:space="preserve">6676.81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建筑密度</w:t>
            </w:r>
          </w:p>
        </w:tc>
        <w:tc>
          <w:tcPr>
            <w:tcW w:w="3009" w:type="dxa"/>
            <w:gridSpan w:val="2"/>
          </w:tcPr>
          <w:p>
            <w:pPr>
              <w:spacing w:line="240" w:lineRule="auto"/>
            </w:pPr>
            <w:r>
              <w:rPr>
                <w:rFonts w:hint="eastAsia"/>
              </w:rPr>
              <w:t>14.39%</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绿地面积</w:t>
            </w:r>
          </w:p>
        </w:tc>
        <w:tc>
          <w:tcPr>
            <w:tcW w:w="3009" w:type="dxa"/>
            <w:gridSpan w:val="2"/>
          </w:tcPr>
          <w:p>
            <w:pPr>
              <w:spacing w:line="240" w:lineRule="auto"/>
            </w:pPr>
            <w:r>
              <w:rPr>
                <w:rFonts w:hint="eastAsia"/>
              </w:rPr>
              <w:t>16238.6</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绿地率</w:t>
            </w:r>
          </w:p>
        </w:tc>
        <w:tc>
          <w:tcPr>
            <w:tcW w:w="3009" w:type="dxa"/>
            <w:gridSpan w:val="2"/>
          </w:tcPr>
          <w:p>
            <w:pPr>
              <w:spacing w:line="240" w:lineRule="auto"/>
            </w:pPr>
            <w:r>
              <w:rPr>
                <w:rFonts w:hint="eastAsia"/>
              </w:rPr>
              <w:t>35%</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住宅总套数</w:t>
            </w:r>
          </w:p>
        </w:tc>
        <w:tc>
          <w:tcPr>
            <w:tcW w:w="3009" w:type="dxa"/>
            <w:gridSpan w:val="2"/>
          </w:tcPr>
          <w:p>
            <w:pPr>
              <w:spacing w:line="240" w:lineRule="auto"/>
            </w:pPr>
            <w:r>
              <w:rPr>
                <w:rFonts w:hint="eastAsia"/>
              </w:rPr>
              <w:t>1253</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330" w:type="dxa"/>
            <w:gridSpan w:val="3"/>
          </w:tcPr>
          <w:p>
            <w:pPr>
              <w:spacing w:line="240" w:lineRule="auto"/>
            </w:pPr>
            <w:r>
              <w:rPr>
                <w:rFonts w:hint="eastAsia"/>
              </w:rPr>
              <w:t>机动车停车位</w:t>
            </w:r>
          </w:p>
        </w:tc>
        <w:tc>
          <w:tcPr>
            <w:tcW w:w="1223" w:type="dxa"/>
          </w:tcPr>
          <w:p>
            <w:pPr>
              <w:spacing w:line="240" w:lineRule="auto"/>
            </w:pPr>
            <w:r>
              <w:rPr>
                <w:rFonts w:hint="eastAsia"/>
              </w:rPr>
              <w:t>辆</w:t>
            </w:r>
          </w:p>
        </w:tc>
        <w:tc>
          <w:tcPr>
            <w:tcW w:w="1786" w:type="dxa"/>
          </w:tcPr>
          <w:p>
            <w:pPr>
              <w:spacing w:line="240" w:lineRule="auto"/>
            </w:pPr>
            <w:r>
              <w:rPr>
                <w:rFonts w:hint="eastAsia"/>
              </w:rPr>
              <w:t xml:space="preserve">2088 </w:t>
            </w:r>
          </w:p>
        </w:tc>
        <w:tc>
          <w:tcPr>
            <w:tcW w:w="1957" w:type="dxa"/>
          </w:tcPr>
          <w:p>
            <w:pPr>
              <w:spacing w:line="240" w:lineRule="auto"/>
            </w:pPr>
            <w:r>
              <w:rPr>
                <w:rFonts w:hint="eastAsia"/>
              </w:rPr>
              <w:t>按1.5辆/100㎡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restart"/>
          </w:tcPr>
          <w:p>
            <w:pPr>
              <w:spacing w:line="240" w:lineRule="auto"/>
            </w:pPr>
            <w:r>
              <w:rPr>
                <w:rFonts w:hint="eastAsia"/>
              </w:rPr>
              <w:t>其中</w:t>
            </w:r>
          </w:p>
        </w:tc>
        <w:tc>
          <w:tcPr>
            <w:tcW w:w="2610" w:type="dxa"/>
            <w:gridSpan w:val="2"/>
          </w:tcPr>
          <w:p>
            <w:pPr>
              <w:spacing w:line="240" w:lineRule="auto"/>
            </w:pPr>
            <w:r>
              <w:rPr>
                <w:rFonts w:hint="eastAsia"/>
              </w:rPr>
              <w:t>地下停车位</w:t>
            </w:r>
          </w:p>
        </w:tc>
        <w:tc>
          <w:tcPr>
            <w:tcW w:w="1223" w:type="dxa"/>
          </w:tcPr>
          <w:p>
            <w:pPr>
              <w:spacing w:line="240" w:lineRule="auto"/>
            </w:pPr>
            <w:r>
              <w:rPr>
                <w:rFonts w:hint="eastAsia"/>
              </w:rPr>
              <w:t>辆</w:t>
            </w:r>
          </w:p>
        </w:tc>
        <w:tc>
          <w:tcPr>
            <w:tcW w:w="1786" w:type="dxa"/>
          </w:tcPr>
          <w:p>
            <w:pPr>
              <w:spacing w:line="240" w:lineRule="auto"/>
            </w:pPr>
            <w:r>
              <w:rPr>
                <w:rFonts w:hint="eastAsia"/>
              </w:rPr>
              <w:t xml:space="preserve">2088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spacing w:line="240" w:lineRule="auto"/>
            </w:pPr>
          </w:p>
        </w:tc>
        <w:tc>
          <w:tcPr>
            <w:tcW w:w="2610" w:type="dxa"/>
            <w:gridSpan w:val="2"/>
          </w:tcPr>
          <w:p>
            <w:pPr>
              <w:spacing w:line="240" w:lineRule="auto"/>
            </w:pPr>
            <w:r>
              <w:rPr>
                <w:rFonts w:hint="eastAsia"/>
              </w:rPr>
              <w:t>地面停车位</w:t>
            </w:r>
          </w:p>
        </w:tc>
        <w:tc>
          <w:tcPr>
            <w:tcW w:w="1223" w:type="dxa"/>
          </w:tcPr>
          <w:p>
            <w:pPr>
              <w:spacing w:line="240" w:lineRule="auto"/>
            </w:pPr>
            <w:r>
              <w:rPr>
                <w:rFonts w:hint="eastAsia"/>
              </w:rPr>
              <w:t>辆</w:t>
            </w:r>
          </w:p>
        </w:tc>
        <w:tc>
          <w:tcPr>
            <w:tcW w:w="1786" w:type="dxa"/>
          </w:tcPr>
          <w:p>
            <w:pPr>
              <w:spacing w:line="240" w:lineRule="auto"/>
            </w:pPr>
            <w:r>
              <w:rPr>
                <w:rFonts w:hint="eastAsia"/>
              </w:rPr>
              <w:t xml:space="preserve">0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30" w:type="dxa"/>
            <w:gridSpan w:val="3"/>
          </w:tcPr>
          <w:p>
            <w:pPr>
              <w:spacing w:line="240" w:lineRule="auto"/>
            </w:pPr>
            <w:r>
              <w:rPr>
                <w:rFonts w:hint="eastAsia"/>
              </w:rPr>
              <w:t>非机动车停车位</w:t>
            </w:r>
          </w:p>
        </w:tc>
        <w:tc>
          <w:tcPr>
            <w:tcW w:w="1223" w:type="dxa"/>
          </w:tcPr>
          <w:p>
            <w:pPr>
              <w:spacing w:line="240" w:lineRule="auto"/>
            </w:pPr>
            <w:r>
              <w:rPr>
                <w:rFonts w:hint="eastAsia"/>
              </w:rPr>
              <w:t>辆</w:t>
            </w:r>
          </w:p>
        </w:tc>
        <w:tc>
          <w:tcPr>
            <w:tcW w:w="1786" w:type="dxa"/>
          </w:tcPr>
          <w:p>
            <w:pPr>
              <w:spacing w:line="240" w:lineRule="auto"/>
            </w:pPr>
            <w:r>
              <w:rPr>
                <w:rFonts w:hint="eastAsia"/>
              </w:rPr>
              <w:t xml:space="preserve">434 </w:t>
            </w:r>
          </w:p>
        </w:tc>
        <w:tc>
          <w:tcPr>
            <w:tcW w:w="1957" w:type="dxa"/>
          </w:tcPr>
          <w:p>
            <w:pPr>
              <w:spacing w:line="240" w:lineRule="auto"/>
            </w:pPr>
            <w:r>
              <w:rPr>
                <w:rFonts w:hint="eastAsia"/>
              </w:rPr>
              <w:t>按0.3辆/100㎡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dxa"/>
            <w:vMerge w:val="restart"/>
          </w:tcPr>
          <w:p>
            <w:pPr>
              <w:spacing w:line="240" w:lineRule="auto"/>
            </w:pPr>
            <w:r>
              <w:rPr>
                <w:rFonts w:hint="eastAsia"/>
              </w:rPr>
              <w:t>其中</w:t>
            </w:r>
          </w:p>
        </w:tc>
        <w:tc>
          <w:tcPr>
            <w:tcW w:w="2610" w:type="dxa"/>
            <w:gridSpan w:val="2"/>
          </w:tcPr>
          <w:p>
            <w:pPr>
              <w:spacing w:line="240" w:lineRule="auto"/>
            </w:pPr>
            <w:r>
              <w:rPr>
                <w:rFonts w:hint="eastAsia"/>
              </w:rPr>
              <w:t>地下停车位</w:t>
            </w:r>
          </w:p>
        </w:tc>
        <w:tc>
          <w:tcPr>
            <w:tcW w:w="1223" w:type="dxa"/>
          </w:tcPr>
          <w:p>
            <w:pPr>
              <w:spacing w:line="240" w:lineRule="auto"/>
            </w:pPr>
            <w:r>
              <w:rPr>
                <w:rFonts w:hint="eastAsia"/>
              </w:rPr>
              <w:t>辆</w:t>
            </w:r>
          </w:p>
        </w:tc>
        <w:tc>
          <w:tcPr>
            <w:tcW w:w="1786" w:type="dxa"/>
          </w:tcPr>
          <w:p>
            <w:pPr>
              <w:spacing w:line="240" w:lineRule="auto"/>
            </w:pPr>
            <w:r>
              <w:rPr>
                <w:rFonts w:hint="eastAsia"/>
              </w:rPr>
              <w:t xml:space="preserve">0 </w:t>
            </w:r>
          </w:p>
        </w:tc>
        <w:tc>
          <w:tcPr>
            <w:tcW w:w="1957" w:type="dxa"/>
          </w:tcPr>
          <w:p>
            <w:pPr>
              <w:spacing w:line="240" w:lineRule="auto"/>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dxa"/>
            <w:vMerge w:val="continue"/>
          </w:tcPr>
          <w:p>
            <w:pPr>
              <w:spacing w:line="240" w:lineRule="auto"/>
            </w:pPr>
          </w:p>
        </w:tc>
        <w:tc>
          <w:tcPr>
            <w:tcW w:w="2610" w:type="dxa"/>
            <w:gridSpan w:val="2"/>
          </w:tcPr>
          <w:p>
            <w:pPr>
              <w:spacing w:line="240" w:lineRule="auto"/>
            </w:pPr>
            <w:r>
              <w:rPr>
                <w:rFonts w:hint="eastAsia"/>
              </w:rPr>
              <w:t>地面停车位</w:t>
            </w:r>
          </w:p>
        </w:tc>
        <w:tc>
          <w:tcPr>
            <w:tcW w:w="1223" w:type="dxa"/>
          </w:tcPr>
          <w:p>
            <w:pPr>
              <w:spacing w:line="240" w:lineRule="auto"/>
            </w:pPr>
            <w:r>
              <w:rPr>
                <w:rFonts w:hint="eastAsia"/>
              </w:rPr>
              <w:t>辆</w:t>
            </w:r>
          </w:p>
        </w:tc>
        <w:tc>
          <w:tcPr>
            <w:tcW w:w="1786" w:type="dxa"/>
          </w:tcPr>
          <w:p>
            <w:pPr>
              <w:spacing w:line="240" w:lineRule="auto"/>
            </w:pPr>
            <w:r>
              <w:rPr>
                <w:rFonts w:hint="eastAsia"/>
              </w:rPr>
              <w:t xml:space="preserve">434 </w:t>
            </w:r>
          </w:p>
        </w:tc>
        <w:tc>
          <w:tcPr>
            <w:tcW w:w="1957" w:type="dxa"/>
          </w:tcPr>
          <w:p>
            <w:pPr>
              <w:spacing w:line="240" w:lineRule="auto"/>
            </w:pPr>
            <w:r>
              <w:rPr>
                <w:rFonts w:hint="eastAsia"/>
              </w:rPr>
              <w:t>　</w:t>
            </w:r>
          </w:p>
        </w:tc>
      </w:tr>
    </w:tbl>
    <w:p>
      <w:pPr>
        <w:jc w:val="center"/>
      </w:pPr>
    </w:p>
    <w:p>
      <w:pPr>
        <w:pStyle w:val="6"/>
        <w:rPr>
          <w:sz w:val="24"/>
          <w:szCs w:val="22"/>
          <w:lang w:val="zh-CN"/>
        </w:rPr>
      </w:pPr>
      <w:r>
        <w:rPr>
          <w:rFonts w:hint="eastAsia"/>
          <w:sz w:val="24"/>
          <w:szCs w:val="22"/>
          <w:lang w:val="zh-CN"/>
        </w:rPr>
        <w:t>4.1.2分期开发计划</w:t>
      </w:r>
    </w:p>
    <w:p>
      <w:pPr>
        <w:spacing w:line="360" w:lineRule="auto"/>
        <w:ind w:firstLine="480" w:firstLineChars="200"/>
        <w:rPr>
          <w:rFonts w:ascii="宋体" w:hAnsi="宋体"/>
        </w:rPr>
      </w:pPr>
      <w:r>
        <w:rPr>
          <w:rFonts w:hint="eastAsia" w:ascii="宋体" w:hAnsi="宋体"/>
        </w:rPr>
        <w:t>根据项目工程进度计划安排，桂湾府地块先于前湾府地块开发建设，其中桂湾府地块（包含示范区）分三期开发，前湾府地块分三期开发。</w:t>
      </w:r>
    </w:p>
    <w:p>
      <w:pPr>
        <w:pStyle w:val="6"/>
        <w:rPr>
          <w:sz w:val="24"/>
          <w:szCs w:val="22"/>
          <w:lang w:val="zh-CN"/>
        </w:rPr>
      </w:pPr>
      <w:r>
        <w:rPr>
          <w:rFonts w:hint="eastAsia"/>
          <w:sz w:val="24"/>
          <w:szCs w:val="22"/>
          <w:lang w:val="zh-CN"/>
        </w:rPr>
        <w:t>4.1.3控制指标</w:t>
      </w:r>
    </w:p>
    <w:p>
      <w:r>
        <w:rPr>
          <w:rFonts w:hint="eastAsia"/>
        </w:rPr>
        <w:t xml:space="preserve">   硬景比例，要求尽量≤</w:t>
      </w:r>
      <w:r>
        <w:rPr>
          <w:rFonts w:hint="eastAsia"/>
          <w:u w:val="single"/>
        </w:rPr>
        <w:t xml:space="preserve">   30  </w:t>
      </w:r>
      <w:r>
        <w:rPr>
          <w:rFonts w:hint="eastAsia"/>
        </w:rPr>
        <w:t xml:space="preserve"> %，在保证整体景观品质的前提下，适当控制硬景比例，控制成本。（硬景比例=硬景面积/景观面积，硬景包括消防通道、园路、小区入口、功能节点、景墙、有硬铺装的水景）</w:t>
      </w:r>
    </w:p>
    <w:p>
      <w:pPr>
        <w:pStyle w:val="5"/>
      </w:pPr>
      <w:bookmarkStart w:id="29" w:name="_Toc420831787"/>
      <w:r>
        <w:rPr>
          <w:rFonts w:hint="eastAsia"/>
        </w:rPr>
        <w:t>4.2各部分设计要求</w:t>
      </w:r>
      <w:bookmarkEnd w:id="29"/>
    </w:p>
    <w:p>
      <w:pPr>
        <w:pStyle w:val="6"/>
        <w:rPr>
          <w:sz w:val="24"/>
          <w:szCs w:val="22"/>
          <w:lang w:val="zh-CN"/>
        </w:rPr>
      </w:pPr>
      <w:r>
        <w:rPr>
          <w:rFonts w:hint="eastAsia"/>
          <w:sz w:val="24"/>
          <w:szCs w:val="22"/>
          <w:lang w:val="zh-CN"/>
        </w:rPr>
        <w:t>4.2.1总体设计要求</w:t>
      </w:r>
    </w:p>
    <w:p>
      <w:pPr>
        <w:ind w:firstLine="480" w:firstLineChars="200"/>
      </w:pPr>
      <w:r>
        <w:rPr>
          <w:rFonts w:hint="eastAsia"/>
        </w:rPr>
        <w:t>设计提炼出一个鲜明的具有文化内涵的推广主题</w:t>
      </w:r>
      <w:r>
        <w:t>(</w:t>
      </w:r>
      <w:r>
        <w:rPr>
          <w:rFonts w:hint="eastAsia"/>
        </w:rPr>
        <w:t>景观规划主题</w:t>
      </w:r>
      <w:r>
        <w:t>)</w:t>
      </w:r>
      <w:r>
        <w:rPr>
          <w:rFonts w:hint="eastAsia"/>
        </w:rPr>
        <w:t>。主题应与项目定位及营销要求相配合，并赋予其深厚的文化内涵，与建筑整体风格协调，同时突出自然环境与居住环境的良好结合。</w:t>
      </w:r>
    </w:p>
    <w:p>
      <w:r>
        <w:rPr>
          <w:rFonts w:hint="eastAsia"/>
        </w:rPr>
        <w:t></w:t>
      </w:r>
      <w:r>
        <w:t xml:space="preserve"> </w:t>
      </w:r>
      <w:r>
        <w:rPr>
          <w:rFonts w:hint="eastAsia"/>
        </w:rPr>
        <w:t xml:space="preserve"> 景观设计需密切配合建筑设计，一是有利于建筑环境、交通、商业等整体设计，达到最佳效果；二是注重功能，合理布局景观功能设施，结合建筑规划、道路系统、日照及消防等规范提出切实可行的景观设计策略。</w:t>
      </w:r>
    </w:p>
    <w:p>
      <w:r>
        <w:rPr>
          <w:rFonts w:hint="eastAsia"/>
        </w:rPr>
        <w:t></w:t>
      </w:r>
      <w:r>
        <w:t xml:space="preserve"> </w:t>
      </w:r>
      <w:r>
        <w:rPr>
          <w:rFonts w:hint="eastAsia"/>
        </w:rPr>
        <w:t xml:space="preserve"> 景观序列需主次分明，有明晰的主、次景观轴线，轴线感强烈，营造人居景观氛围。景观序列需主次分明，有明晰的主、次景观轴线，轴线感强烈，营造人居景观氛围。对室外空间合理分区，建筑架空层结合入户大堂等公共空间的有效利用，综合布局休闲、运动、健身、游戏等各类功能性景观设施，融景观功能性与赏憩性于一体。</w:t>
      </w:r>
    </w:p>
    <w:p>
      <w:r>
        <w:rPr>
          <w:rFonts w:hint="eastAsia"/>
        </w:rPr>
        <w:t></w:t>
      </w:r>
      <w:r>
        <w:t xml:space="preserve"> </w:t>
      </w:r>
      <w:r>
        <w:rPr>
          <w:rFonts w:hint="eastAsia"/>
        </w:rPr>
        <w:t>地形设计应结合整体布局，营造丰富的景观空间。同时，将人防出口、检查井、通风井、地下车库车行及人行出入口等突出地面的构筑物合理利用、巧妙装饰，以化解对整体环境的影响。</w:t>
      </w:r>
    </w:p>
    <w:p>
      <w:r>
        <w:rPr>
          <w:rFonts w:hint="eastAsia"/>
        </w:rPr>
        <w:t></w:t>
      </w:r>
      <w:r>
        <w:t xml:space="preserve"> </w:t>
      </w:r>
      <w:r>
        <w:rPr>
          <w:rFonts w:hint="eastAsia"/>
        </w:rPr>
        <w:t>要重点考虑小区内部之重要部位，如商业广场周边、轴线点及小区主入口等设计。</w:t>
      </w:r>
    </w:p>
    <w:p>
      <w:r>
        <w:rPr>
          <w:rFonts w:hint="eastAsia"/>
        </w:rPr>
        <w:t></w:t>
      </w:r>
      <w:r>
        <w:t xml:space="preserve"> </w:t>
      </w:r>
      <w:r>
        <w:rPr>
          <w:rFonts w:hint="eastAsia"/>
        </w:rPr>
        <w:t>项目环境设计应考虑无障碍设计。</w:t>
      </w:r>
    </w:p>
    <w:p>
      <w:pPr>
        <w:pStyle w:val="6"/>
        <w:rPr>
          <w:sz w:val="24"/>
          <w:szCs w:val="22"/>
          <w:lang w:val="zh-CN"/>
        </w:rPr>
      </w:pPr>
      <w:r>
        <w:rPr>
          <w:rFonts w:hint="eastAsia"/>
          <w:sz w:val="24"/>
          <w:szCs w:val="22"/>
          <w:lang w:val="zh-CN"/>
        </w:rPr>
        <w:t>4.2.2示范区设计要求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示范区范围为项目东北角，范围包括售楼处、停车场及周边区域，面积约7500平方（红线包括部分外街头绿地）。设计时注意在确保与市政街头绿化的融合，进行长远期考虑。与建筑风格统一，表现形式及空间布局要有特色性和品质感。</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计要充分考虑营销推盘的功能需求，合理组织人行、车行动线的舒适要求，标识导向明晰，流线上应有视觉亮点、氛围景观、体验或停流性景观，特别在形象入口应有景观元素烘托气氛。注意视觉场景布置具备视觉冲击力，简洁且有主题和故事，体现本项目的中高端定位特点。</w:t>
      </w:r>
    </w:p>
    <w:p>
      <w:pPr>
        <w:ind w:firstLine="480" w:firstLineChars="200"/>
      </w:pPr>
      <w:r>
        <w:rPr>
          <w:rFonts w:hint="eastAsia"/>
          <w:color w:val="000000" w:themeColor="text1"/>
          <w14:textFill>
            <w14:solidFill>
              <w14:schemeClr w14:val="tx1"/>
            </w14:solidFill>
          </w14:textFill>
        </w:rPr>
        <w:t>要重点设计精神堡垒，与售楼处及周边环境相呼应，风格要和谐一致，设计尺寸和落地情况要符合现场实际情况，突出精神堡垒的特点，展示昭示性。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根据确定的项目开盘时间，要着重考虑展示区域开盘时期形成的植物形态。</w:t>
      </w:r>
    </w:p>
    <w:p>
      <w:pPr>
        <w:ind w:firstLine="480" w:firstLineChars="200"/>
        <w:rPr>
          <w:color w:val="000000" w:themeColor="text1"/>
          <w14:textFill>
            <w14:solidFill>
              <w14:schemeClr w14:val="tx1"/>
            </w14:solidFill>
          </w14:textFill>
        </w:rPr>
      </w:pPr>
    </w:p>
    <w:p>
      <w:pPr>
        <w:pStyle w:val="6"/>
        <w:rPr>
          <w:sz w:val="24"/>
          <w:szCs w:val="22"/>
          <w:lang w:val="zh-CN"/>
        </w:rPr>
      </w:pPr>
      <w:bookmarkStart w:id="30" w:name="_Toc500275599"/>
      <w:r>
        <w:rPr>
          <w:rFonts w:hint="eastAsia"/>
          <w:sz w:val="24"/>
          <w:szCs w:val="22"/>
          <w:lang w:val="zh-CN"/>
        </w:rPr>
        <w:t>4.2.3商业区设计要求</w:t>
      </w:r>
      <w:bookmarkEnd w:id="30"/>
    </w:p>
    <w:p>
      <w:pPr>
        <w:ind w:firstLine="480" w:firstLineChars="200"/>
      </w:pPr>
      <w:r>
        <w:rPr>
          <w:rFonts w:hint="eastAsia"/>
        </w:rPr>
        <w:t>与商业铺面外观形象结合，简约大气，层次分明。提高商铺的商业形象和临街环境的观赏性，同时满足消费者的休憩要求，提高人群的驻留时间。可适当布置具有功能性的建筑小品，增加商业区的</w:t>
      </w:r>
      <w:r>
        <w:t>“</w:t>
      </w:r>
      <w:r>
        <w:rPr>
          <w:rFonts w:hint="eastAsia"/>
        </w:rPr>
        <w:t>乐趣感</w:t>
      </w:r>
      <w:r>
        <w:t>”</w:t>
      </w:r>
      <w:r>
        <w:rPr>
          <w:rFonts w:hint="eastAsia"/>
        </w:rPr>
        <w:t>。街道两侧，也应考虑消费者休闲娱乐设施，如座椅或能提供休息的设施，营造出舒适惬意的商业街区气氛。</w:t>
      </w:r>
    </w:p>
    <w:p>
      <w:pPr>
        <w:pStyle w:val="6"/>
        <w:rPr>
          <w:sz w:val="24"/>
          <w:szCs w:val="22"/>
          <w:lang w:val="zh-CN"/>
        </w:rPr>
      </w:pPr>
      <w:bookmarkStart w:id="31" w:name="_Toc500275601"/>
      <w:r>
        <w:rPr>
          <w:rFonts w:hint="eastAsia"/>
          <w:sz w:val="24"/>
          <w:szCs w:val="22"/>
          <w:lang w:val="zh-CN"/>
        </w:rPr>
        <w:t>4.2.</w:t>
      </w:r>
      <w:r>
        <w:rPr>
          <w:rFonts w:hint="eastAsia"/>
          <w:sz w:val="24"/>
          <w:szCs w:val="22"/>
        </w:rPr>
        <w:t>4</w:t>
      </w:r>
      <w:r>
        <w:rPr>
          <w:rFonts w:hint="eastAsia"/>
          <w:sz w:val="24"/>
          <w:szCs w:val="22"/>
          <w:lang w:val="zh-CN"/>
        </w:rPr>
        <w:t xml:space="preserve"> 道路设计要求</w:t>
      </w:r>
      <w:bookmarkEnd w:id="31"/>
    </w:p>
    <w:p>
      <w:pPr>
        <w:ind w:firstLine="480" w:firstLineChars="200"/>
        <w:rPr>
          <w:color w:val="FF0000"/>
        </w:rPr>
      </w:pPr>
      <w:r>
        <w:rPr>
          <w:rFonts w:hint="eastAsia"/>
        </w:rPr>
        <w:t>小区道路尽量与消防车道结合布置，仔细推敲处理。小区内主要道路及单元出入口处应做无障碍设计。材料搭配应综合考虑材料的尺度、色彩、质感的对比关系。尽量运用当地价格较低的物料，力争以较低的成本、达到好的效果。考虑单元入口、路牙收口部分及与绿化交接部分的细部处理手法，平路牙设计注意防止种植土余土在外的处理。</w:t>
      </w:r>
    </w:p>
    <w:p>
      <w:pPr>
        <w:pStyle w:val="6"/>
        <w:rPr>
          <w:sz w:val="24"/>
          <w:szCs w:val="22"/>
          <w:lang w:val="zh-CN"/>
        </w:rPr>
      </w:pPr>
      <w:bookmarkStart w:id="32" w:name="_Toc421524434"/>
      <w:r>
        <w:rPr>
          <w:rFonts w:hint="eastAsia"/>
          <w:sz w:val="24"/>
          <w:szCs w:val="22"/>
          <w:lang w:val="zh-CN"/>
        </w:rPr>
        <w:t>4.2.</w:t>
      </w:r>
      <w:r>
        <w:rPr>
          <w:rFonts w:hint="eastAsia"/>
          <w:sz w:val="24"/>
          <w:szCs w:val="22"/>
        </w:rPr>
        <w:t>5</w:t>
      </w:r>
      <w:r>
        <w:rPr>
          <w:rFonts w:hint="eastAsia"/>
          <w:sz w:val="24"/>
          <w:szCs w:val="22"/>
          <w:lang w:val="zh-CN"/>
        </w:rPr>
        <w:t>围墙与入口设计要求</w:t>
      </w:r>
      <w:bookmarkEnd w:id="32"/>
    </w:p>
    <w:p>
      <w:pPr>
        <w:ind w:firstLine="480" w:firstLineChars="200"/>
      </w:pPr>
      <w:r>
        <w:rPr>
          <w:rFonts w:hint="eastAsia"/>
        </w:rPr>
        <w:t>围墙设计应考虑建筑及周边环境关系。设计师可提供此类要素的概念性图片作为辅助说明。须考虑闭路监视等安防系统及灯具设计。</w:t>
      </w:r>
    </w:p>
    <w:p>
      <w:pPr>
        <w:ind w:firstLine="480" w:firstLineChars="200"/>
      </w:pPr>
      <w:r>
        <w:rPr>
          <w:rFonts w:hint="eastAsia"/>
        </w:rPr>
        <w:t>重点打造出大门入口周边景观。作为大门首要组成部分，应通过立面形式、色彩变化、材料选择等方面提升小区的可识别性与独特性。同时也应注意与建筑形式的紧密结合，能突出居住环境特色。</w:t>
      </w:r>
    </w:p>
    <w:p>
      <w:pPr>
        <w:pStyle w:val="6"/>
        <w:rPr>
          <w:sz w:val="24"/>
          <w:szCs w:val="22"/>
          <w:lang w:val="zh-CN"/>
        </w:rPr>
      </w:pPr>
      <w:r>
        <w:rPr>
          <w:rFonts w:hint="eastAsia"/>
          <w:sz w:val="24"/>
          <w:szCs w:val="22"/>
          <w:lang w:val="zh-CN"/>
        </w:rPr>
        <w:t>4.2.</w:t>
      </w:r>
      <w:r>
        <w:rPr>
          <w:rFonts w:hint="eastAsia"/>
          <w:sz w:val="24"/>
          <w:szCs w:val="22"/>
        </w:rPr>
        <w:t>6幼儿园景观</w:t>
      </w:r>
      <w:r>
        <w:rPr>
          <w:rFonts w:hint="eastAsia"/>
          <w:sz w:val="24"/>
          <w:szCs w:val="22"/>
          <w:lang w:val="zh-CN"/>
        </w:rPr>
        <w:t>设计要求</w:t>
      </w:r>
    </w:p>
    <w:p>
      <w:pPr>
        <w:ind w:firstLine="480" w:firstLineChars="200"/>
        <w:rPr>
          <w:color w:val="000000" w:themeColor="text1"/>
          <w14:textFill>
            <w14:solidFill>
              <w14:schemeClr w14:val="tx1"/>
            </w14:solidFill>
          </w14:textFill>
        </w:rPr>
      </w:pPr>
      <w:r>
        <w:rPr>
          <w:rFonts w:hint="eastAsia"/>
        </w:rPr>
        <w:t>幼儿园设计需充满趣味性，作为小区景观的延伸，重点打造室外活动场地的设计。注意考虑材料、无障碍和尖角等安全隐患的处理。</w:t>
      </w:r>
    </w:p>
    <w:p>
      <w:pPr>
        <w:pStyle w:val="6"/>
        <w:rPr>
          <w:sz w:val="24"/>
          <w:szCs w:val="22"/>
          <w:lang w:val="zh-CN"/>
        </w:rPr>
      </w:pPr>
      <w:r>
        <w:rPr>
          <w:rFonts w:hint="eastAsia"/>
          <w:sz w:val="24"/>
          <w:szCs w:val="22"/>
          <w:lang w:val="zh-CN"/>
        </w:rPr>
        <w:t>4.2.</w:t>
      </w:r>
      <w:r>
        <w:rPr>
          <w:rFonts w:hint="eastAsia"/>
          <w:sz w:val="24"/>
          <w:szCs w:val="22"/>
        </w:rPr>
        <w:t>7</w:t>
      </w:r>
      <w:r>
        <w:rPr>
          <w:rFonts w:hint="eastAsia"/>
          <w:sz w:val="24"/>
          <w:szCs w:val="22"/>
          <w:lang w:val="zh-CN"/>
        </w:rPr>
        <w:t>绿化设计</w:t>
      </w:r>
    </w:p>
    <w:p>
      <w:pPr>
        <w:ind w:firstLine="480" w:firstLineChars="200"/>
      </w:pPr>
      <w:r>
        <w:rPr>
          <w:rFonts w:hint="eastAsia"/>
        </w:rPr>
        <w:t>尊重适地适树原则，选择在本地生长良好的植物，以乔木为绿化骨架，乔、灌、草、地被相结合，形成具有一定面积的立体种植，层次结构明显，有组团感，使植物群落具有最大自然性与生态效益。</w:t>
      </w:r>
    </w:p>
    <w:p>
      <w:pPr>
        <w:ind w:firstLine="480" w:firstLineChars="200"/>
      </w:pPr>
      <w:r>
        <w:rPr>
          <w:rFonts w:hint="eastAsia"/>
        </w:rPr>
        <w:t>在全覆盖的前提下，营造多色调、多层次、多形式的园林景色。</w:t>
      </w:r>
    </w:p>
    <w:p>
      <w:pPr>
        <w:ind w:firstLine="480" w:firstLineChars="200"/>
      </w:pPr>
      <w:r>
        <w:rPr>
          <w:rFonts w:hint="eastAsia"/>
        </w:rPr>
        <w:t>提高区内的实际绿地面积，合理分配绿地及硬铺装比例，重视景观设计的均衡性、功能性、亲切性与文化性。</w:t>
      </w:r>
    </w:p>
    <w:p>
      <w:pPr>
        <w:ind w:firstLine="480" w:firstLineChars="200"/>
      </w:pPr>
      <w:r>
        <w:rPr>
          <w:rFonts w:hint="eastAsia"/>
        </w:rPr>
        <w:t>植物设计充分考虑季相变化，兼顾近期和长期的景观效果，注意植物种类的合理搭配。考虑植物的生长期，未来五年、十年......苗木长势景观空间变化，保证施工后效果，提出未来处理措施。</w:t>
      </w:r>
    </w:p>
    <w:p>
      <w:pPr>
        <w:ind w:firstLine="480" w:firstLineChars="200"/>
      </w:pPr>
      <w:r>
        <w:rPr>
          <w:rFonts w:hint="eastAsia"/>
        </w:rPr>
        <w:t>充分发挥利用植物排污、防尘、减噪的生态功能。</w:t>
      </w:r>
    </w:p>
    <w:p>
      <w:pPr>
        <w:ind w:firstLine="480" w:firstLineChars="200"/>
      </w:pPr>
      <w:r>
        <w:rPr>
          <w:rFonts w:hint="eastAsia"/>
        </w:rPr>
        <w:t>建筑周边植物种植需遵循当地规范，要考虑住户的标准配置，包括房前屋后的绿化植被、大树等，同一级别的户型尽量做到均好。</w:t>
      </w:r>
    </w:p>
    <w:p>
      <w:pPr>
        <w:ind w:firstLine="480" w:firstLineChars="200"/>
      </w:pPr>
      <w:r>
        <w:rPr>
          <w:rFonts w:hint="eastAsia"/>
        </w:rPr>
        <w:t>设计应切合示范区的地形状况，根据项目需要和物业服务需要，进行灌溉和排水设计。</w:t>
      </w:r>
    </w:p>
    <w:p>
      <w:pPr>
        <w:ind w:firstLine="480" w:firstLineChars="200"/>
      </w:pPr>
      <w:r>
        <w:rPr>
          <w:rFonts w:hint="eastAsia"/>
        </w:rPr>
        <w:t>如有反季节种植设计，必须重点写明具体种植方式方法，从而有效提高绿化施工的成活率，确保经济效益和社会效益。</w:t>
      </w:r>
    </w:p>
    <w:p>
      <w:pPr>
        <w:ind w:firstLine="480" w:firstLineChars="200"/>
      </w:pPr>
      <w:r>
        <w:rPr>
          <w:rFonts w:hint="eastAsia"/>
        </w:rPr>
        <w:t>建筑</w:t>
      </w:r>
      <w:r>
        <w:t>地下室顶板覆土</w:t>
      </w:r>
      <w:r>
        <w:rPr>
          <w:rFonts w:hint="eastAsia"/>
        </w:rPr>
        <w:t>为1200</w:t>
      </w:r>
      <w:r>
        <w:t> mm</w:t>
      </w:r>
      <w:r>
        <w:rPr>
          <w:rFonts w:hint="eastAsia"/>
        </w:rPr>
        <w:t>，如需特殊超负荷植物种植设计要求，</w:t>
      </w:r>
      <w:r>
        <w:t>应尽早定位并向结构设计提出进行局部结构加强。</w:t>
      </w:r>
    </w:p>
    <w:p>
      <w:pPr>
        <w:pStyle w:val="6"/>
        <w:rPr>
          <w:sz w:val="24"/>
          <w:szCs w:val="22"/>
          <w:lang w:val="zh-CN"/>
        </w:rPr>
      </w:pPr>
      <w:r>
        <w:rPr>
          <w:rFonts w:hint="eastAsia"/>
          <w:sz w:val="24"/>
          <w:szCs w:val="22"/>
          <w:lang w:val="zh-CN"/>
        </w:rPr>
        <w:t>4.2</w:t>
      </w:r>
      <w:r>
        <w:rPr>
          <w:rFonts w:hint="eastAsia"/>
          <w:sz w:val="24"/>
          <w:szCs w:val="22"/>
        </w:rPr>
        <w:t>.8</w:t>
      </w:r>
      <w:r>
        <w:rPr>
          <w:rFonts w:hint="eastAsia"/>
          <w:sz w:val="24"/>
          <w:szCs w:val="22"/>
          <w:lang w:val="zh-CN"/>
        </w:rPr>
        <w:t>夜景设计要求</w:t>
      </w:r>
    </w:p>
    <w:p>
      <w:pPr>
        <w:ind w:firstLine="480" w:firstLineChars="200"/>
      </w:pPr>
      <w:r>
        <w:rPr>
          <w:rFonts w:hint="eastAsia"/>
        </w:rPr>
        <w:t>包括晚间的景观照明和小品的夜景照明，包括与售楼处泛光的衔接（要求根据外环境的设计要求对建筑物外装的夜景照明设计给予指导意见）。景观照明考虑艺术化，可与室外小品如雕塑、水景设计风格统一，形成特有的设计符号。</w:t>
      </w:r>
    </w:p>
    <w:p>
      <w:pPr>
        <w:pStyle w:val="6"/>
        <w:rPr>
          <w:sz w:val="24"/>
          <w:szCs w:val="22"/>
          <w:lang w:val="zh-CN"/>
        </w:rPr>
      </w:pPr>
      <w:r>
        <w:rPr>
          <w:rFonts w:hint="eastAsia"/>
          <w:sz w:val="24"/>
          <w:szCs w:val="22"/>
          <w:lang w:val="zh-CN"/>
        </w:rPr>
        <w:t>4.2.</w:t>
      </w:r>
      <w:r>
        <w:rPr>
          <w:rFonts w:hint="eastAsia"/>
          <w:sz w:val="24"/>
          <w:szCs w:val="22"/>
        </w:rPr>
        <w:t>9</w:t>
      </w:r>
      <w:r>
        <w:rPr>
          <w:rFonts w:hint="eastAsia"/>
          <w:sz w:val="24"/>
          <w:szCs w:val="22"/>
          <w:lang w:val="zh-CN"/>
        </w:rPr>
        <w:t>水电设计要求</w:t>
      </w:r>
    </w:p>
    <w:p>
      <w:pPr>
        <w:ind w:firstLine="480" w:firstLineChars="200"/>
      </w:pPr>
      <w:r>
        <w:rPr>
          <w:rFonts w:hint="eastAsia"/>
        </w:rPr>
        <w:t>配置应与景观总体特征相协调，注重功能性照明和装饰性照明系统分开，并注意不同区域灯具造型的区别（包括街道、行人道和绿化照明），展示不同的效果，明确照明设施布置及安排，在统一的格调中使其各具特色，更好地衬托景物，装点环境和渲染气氛。</w:t>
      </w:r>
    </w:p>
    <w:p>
      <w:pPr>
        <w:ind w:firstLine="480" w:firstLineChars="200"/>
      </w:pPr>
      <w:r>
        <w:rPr>
          <w:rFonts w:hint="eastAsia"/>
        </w:rPr>
        <w:t>示范区、居住区考虑设置的音响设备，不同时间营造不同的氛围。</w:t>
      </w:r>
    </w:p>
    <w:p>
      <w:pPr>
        <w:ind w:firstLine="480" w:firstLineChars="200"/>
      </w:pPr>
      <w:r>
        <w:rPr>
          <w:rFonts w:hint="eastAsia"/>
        </w:rPr>
        <w:t>结合园区的地形状况对配电房、水电表箱、设备管井、给排水系统的露明部分的景观做统一设计。</w:t>
      </w:r>
    </w:p>
    <w:p>
      <w:pPr>
        <w:ind w:firstLine="480" w:firstLineChars="200"/>
      </w:pPr>
      <w:r>
        <w:rPr>
          <w:rFonts w:hint="eastAsia"/>
        </w:rPr>
        <w:t>考虑尽量削弱市政井盖对项目品质的影响。</w:t>
      </w:r>
    </w:p>
    <w:p>
      <w:pPr>
        <w:pStyle w:val="6"/>
        <w:rPr>
          <w:sz w:val="24"/>
          <w:szCs w:val="22"/>
        </w:rPr>
      </w:pPr>
      <w:r>
        <w:rPr>
          <w:rFonts w:hint="eastAsia"/>
          <w:sz w:val="24"/>
          <w:szCs w:val="22"/>
          <w:lang w:val="zh-CN"/>
        </w:rPr>
        <w:t>4.2.</w:t>
      </w:r>
      <w:r>
        <w:rPr>
          <w:rFonts w:hint="eastAsia"/>
          <w:sz w:val="24"/>
          <w:szCs w:val="22"/>
        </w:rPr>
        <w:t>10前湾府泳池设计</w:t>
      </w:r>
    </w:p>
    <w:p>
      <w:pPr>
        <w:ind w:firstLine="480" w:firstLineChars="200"/>
      </w:pPr>
      <w:r>
        <w:rPr>
          <w:rFonts w:hint="eastAsia"/>
        </w:rPr>
        <w:t>泳池设计要满足8000人社区使用需求，考虑不同年龄段，不同水深的区域划分，满足不同人群的使用。</w:t>
      </w:r>
    </w:p>
    <w:p>
      <w:pPr>
        <w:pStyle w:val="6"/>
        <w:rPr>
          <w:sz w:val="24"/>
          <w:szCs w:val="22"/>
          <w:lang w:val="zh-CN"/>
        </w:rPr>
      </w:pPr>
      <w:r>
        <w:rPr>
          <w:rFonts w:hint="eastAsia"/>
          <w:sz w:val="24"/>
          <w:szCs w:val="22"/>
          <w:lang w:val="zh-CN"/>
        </w:rPr>
        <w:t>4.2.</w:t>
      </w:r>
      <w:r>
        <w:rPr>
          <w:rFonts w:hint="eastAsia"/>
          <w:sz w:val="24"/>
          <w:szCs w:val="22"/>
        </w:rPr>
        <w:t>11</w:t>
      </w:r>
      <w:r>
        <w:rPr>
          <w:rFonts w:hint="eastAsia"/>
          <w:sz w:val="24"/>
          <w:szCs w:val="22"/>
          <w:lang w:val="zh-CN"/>
        </w:rPr>
        <w:t>绿建及节能要求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（1）项目按绿建</w:t>
      </w:r>
      <w:r>
        <w:rPr>
          <w:rFonts w:hint="eastAsia"/>
          <w:color w:val="000000" w:themeColor="text1"/>
          <w:u w:val="single"/>
          <w14:textFill>
            <w14:solidFill>
              <w14:schemeClr w14:val="tx1"/>
            </w14:solidFill>
          </w14:textFill>
        </w:rPr>
        <w:t xml:space="preserve">  一  </w:t>
      </w:r>
      <w:r>
        <w:rPr>
          <w:rFonts w:hint="eastAsia"/>
          <w:color w:val="000000" w:themeColor="text1"/>
          <w14:textFill>
            <w14:solidFill>
              <w14:schemeClr w14:val="tx1"/>
            </w14:solidFill>
          </w14:textFill>
        </w:rPr>
        <w:t>星进行设计。</w:t>
      </w:r>
    </w:p>
    <w:p>
      <w:pPr>
        <w:spacing w:line="360" w:lineRule="auto"/>
        <w:ind w:firstLine="480" w:firstLineChars="200"/>
      </w:pPr>
      <w:r>
        <w:rPr>
          <w:rFonts w:hint="eastAsia"/>
        </w:rPr>
        <w:t>（2）拟采用的节能措施应稳定可靠，有良好的性价比，最好有成功的先例，并在设计成果文件中表示出来。</w:t>
      </w:r>
    </w:p>
    <w:p>
      <w:pPr>
        <w:pStyle w:val="6"/>
        <w:rPr>
          <w:sz w:val="24"/>
          <w:szCs w:val="22"/>
          <w:lang w:val="zh-CN"/>
        </w:rPr>
      </w:pPr>
      <w:r>
        <w:rPr>
          <w:rFonts w:hint="eastAsia"/>
          <w:sz w:val="24"/>
          <w:szCs w:val="22"/>
          <w:lang w:val="zh-CN"/>
        </w:rPr>
        <w:t>4.2.1</w:t>
      </w:r>
      <w:r>
        <w:rPr>
          <w:rFonts w:hint="eastAsia"/>
          <w:sz w:val="24"/>
          <w:szCs w:val="22"/>
        </w:rPr>
        <w:t>2</w:t>
      </w:r>
      <w:r>
        <w:rPr>
          <w:rFonts w:hint="eastAsia"/>
          <w:sz w:val="24"/>
          <w:szCs w:val="22"/>
          <w:lang w:val="zh-CN"/>
        </w:rPr>
        <w:t>设计沟通要求</w:t>
      </w:r>
    </w:p>
    <w:p>
      <w:pPr>
        <w:ind w:firstLine="480" w:firstLineChars="200"/>
        <w:rPr>
          <w:lang w:val="zh-CN"/>
        </w:rPr>
      </w:pPr>
      <w:r>
        <w:rPr>
          <w:rFonts w:hint="eastAsia"/>
        </w:rPr>
        <w:t>根据项目推进实际情况，设计公司需根据业主要求及时进行设计沟通，设计方需要根据相关的要求进行设计修改。业主有对于各阶段方案的最终选择权及否决权。</w:t>
      </w:r>
      <w:r>
        <w:rPr>
          <w:rFonts w:hint="eastAsia"/>
          <w:lang w:val="zh-CN"/>
        </w:rPr>
        <w:t xml:space="preserve"> </w:t>
      </w:r>
    </w:p>
    <w:p>
      <w:pPr>
        <w:pStyle w:val="6"/>
        <w:rPr>
          <w:sz w:val="24"/>
          <w:szCs w:val="22"/>
          <w:lang w:val="zh-CN"/>
        </w:rPr>
      </w:pPr>
      <w:r>
        <w:rPr>
          <w:rFonts w:hint="eastAsia"/>
          <w:sz w:val="24"/>
          <w:szCs w:val="22"/>
          <w:lang w:val="zh-CN"/>
        </w:rPr>
        <w:t>4.2.1</w:t>
      </w:r>
      <w:r>
        <w:rPr>
          <w:rFonts w:hint="eastAsia"/>
          <w:sz w:val="24"/>
          <w:szCs w:val="22"/>
        </w:rPr>
        <w:t>3</w:t>
      </w:r>
      <w:r>
        <w:rPr>
          <w:rFonts w:hint="eastAsia"/>
          <w:sz w:val="24"/>
          <w:szCs w:val="22"/>
          <w:lang w:val="zh-CN"/>
        </w:rPr>
        <w:t>其它要求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（1）本工程如涉及市政、消防、环保等问题时，应征取有关部门意见；</w:t>
      </w:r>
    </w:p>
    <w:p>
      <w:pPr>
        <w:ind w:firstLine="480" w:firstLineChars="200"/>
      </w:pPr>
      <w:r>
        <w:rPr>
          <w:rFonts w:hint="eastAsia"/>
        </w:rPr>
        <w:t>（</w:t>
      </w:r>
      <w:r>
        <w:t>2</w:t>
      </w:r>
      <w:r>
        <w:rPr>
          <w:rFonts w:hint="eastAsia"/>
        </w:rPr>
        <w:t>）符合上述规定同时要满足国家及地方相关技术规定规范要求。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（3）其它任务书未涉及到的相关设计内容及要求。如：环卫设施设计要求、海绵城市设计要求，标识设计、智能化设施设计配合工作等。</w:t>
      </w:r>
    </w:p>
    <w:p>
      <w:pPr>
        <w:pStyle w:val="3"/>
      </w:pPr>
      <w:bookmarkStart w:id="33" w:name="_Toc420831788"/>
      <w:bookmarkStart w:id="34" w:name="_Toc22536"/>
      <w:r>
        <w:rPr>
          <w:rFonts w:hint="eastAsia"/>
        </w:rPr>
        <w:t>五、成果要求</w:t>
      </w:r>
      <w:bookmarkEnd w:id="33"/>
      <w:bookmarkEnd w:id="34"/>
    </w:p>
    <w:p>
      <w:pPr>
        <w:pStyle w:val="5"/>
        <w:rPr>
          <w:lang w:val="en-US"/>
        </w:rPr>
      </w:pPr>
      <w:bookmarkStart w:id="35" w:name="_Toc420831790"/>
      <w:r>
        <w:rPr>
          <w:rFonts w:hint="eastAsia"/>
        </w:rPr>
        <w:t>5.</w:t>
      </w:r>
      <w:bookmarkEnd w:id="35"/>
      <w:r>
        <w:rPr>
          <w:rFonts w:hint="eastAsia"/>
        </w:rPr>
        <w:t>1</w:t>
      </w:r>
      <w:r>
        <w:rPr>
          <w:rFonts w:hint="eastAsia"/>
          <w:lang w:val="en-US"/>
        </w:rPr>
        <w:t>设计征集阶段</w:t>
      </w:r>
    </w:p>
    <w:p>
      <w:pPr>
        <w:pStyle w:val="5"/>
        <w:rPr>
          <w:rFonts w:ascii="Times New Roman" w:hAnsi="Times New Roman" w:eastAsia="宋体"/>
          <w:b w:val="0"/>
          <w:bCs w:val="0"/>
          <w:szCs w:val="24"/>
          <w:lang w:val="en-US"/>
        </w:rPr>
      </w:pPr>
      <w:r>
        <w:rPr>
          <w:rFonts w:hint="eastAsia" w:ascii="Times New Roman" w:hAnsi="Times New Roman" w:eastAsia="宋体"/>
          <w:b w:val="0"/>
          <w:bCs w:val="0"/>
          <w:szCs w:val="24"/>
          <w:lang w:val="en-US"/>
        </w:rPr>
        <w:t>设计文本及工作方案：</w:t>
      </w:r>
    </w:p>
    <w:p>
      <w:pPr>
        <w:pStyle w:val="5"/>
        <w:ind w:firstLine="480" w:firstLineChars="200"/>
        <w:rPr>
          <w:rFonts w:ascii="Times New Roman" w:hAnsi="Times New Roman" w:eastAsia="宋体"/>
          <w:b w:val="0"/>
          <w:bCs w:val="0"/>
          <w:szCs w:val="24"/>
          <w:lang w:val="en-US"/>
        </w:rPr>
      </w:pPr>
      <w:r>
        <w:rPr>
          <w:rFonts w:hint="eastAsia" w:ascii="Times New Roman" w:hAnsi="Times New Roman" w:eastAsia="宋体"/>
          <w:b w:val="0"/>
          <w:bCs w:val="0"/>
          <w:szCs w:val="24"/>
          <w:lang w:val="en-US"/>
        </w:rPr>
        <w:t>1、文本：7本A3双面打印，1正6副，主要内容不超过10页，包括但不限于总图，示范区、主入口等重要节点的表达（表达形式不限），对本项目的重难点分析等；</w:t>
      </w:r>
    </w:p>
    <w:p>
      <w:pPr>
        <w:pStyle w:val="5"/>
        <w:ind w:firstLine="480" w:firstLineChars="200"/>
        <w:rPr>
          <w:rFonts w:ascii="Times New Roman" w:hAnsi="Times New Roman" w:eastAsia="宋体"/>
          <w:b w:val="0"/>
          <w:bCs w:val="0"/>
          <w:szCs w:val="24"/>
          <w:lang w:val="en-US"/>
        </w:rPr>
      </w:pPr>
      <w:r>
        <w:rPr>
          <w:rFonts w:hint="eastAsia" w:ascii="Times New Roman" w:hAnsi="Times New Roman" w:eastAsia="宋体"/>
          <w:b w:val="0"/>
          <w:bCs w:val="0"/>
          <w:szCs w:val="24"/>
          <w:lang w:val="en-US"/>
        </w:rPr>
        <w:t>2、展板：1张，统一为竖向A0 (1180mm x 840mm)，硬质背板装裱。</w:t>
      </w:r>
    </w:p>
    <w:p>
      <w:pPr>
        <w:pStyle w:val="5"/>
        <w:rPr>
          <w:lang w:val="en-US"/>
        </w:rPr>
      </w:pPr>
      <w:r>
        <w:rPr>
          <w:rFonts w:hint="eastAsia"/>
          <w:lang w:val="en-US"/>
        </w:rPr>
        <w:t>5.2</w:t>
      </w:r>
      <w:r>
        <w:rPr>
          <w:rFonts w:hint="eastAsia"/>
        </w:rPr>
        <w:t>方案设计</w:t>
      </w:r>
      <w:r>
        <w:rPr>
          <w:rFonts w:hint="eastAsia"/>
          <w:lang w:val="en-US"/>
        </w:rPr>
        <w:t>阶段</w:t>
      </w:r>
    </w:p>
    <w:p>
      <w:pPr>
        <w:ind w:firstLine="480" w:firstLineChars="200"/>
      </w:pPr>
      <w:r>
        <w:rPr>
          <w:rFonts w:hint="eastAsia"/>
        </w:rPr>
        <w:t>乙方应向甲方提供设计图纸、文本</w:t>
      </w:r>
      <w:r>
        <w:rPr>
          <w:rFonts w:hint="eastAsia" w:ascii="宋体" w:hAnsi="宋体"/>
        </w:rPr>
        <w:t>（含设计估算书）A3 彩色文本10套，电子光盘3套</w:t>
      </w:r>
      <w:r>
        <w:rPr>
          <w:rFonts w:hint="eastAsia"/>
        </w:rPr>
        <w:t>；</w:t>
      </w:r>
    </w:p>
    <w:p>
      <w:pPr>
        <w:ind w:firstLine="480" w:firstLineChars="200"/>
      </w:pPr>
      <w:r>
        <w:rPr>
          <w:rFonts w:hint="eastAsia" w:ascii="宋体" w:hAnsi="宋体"/>
        </w:rPr>
        <w:t>多媒体文件：不多于3分钟的多媒体展示文件，其中场景漫游不少于2分钟。</w:t>
      </w:r>
      <w:r>
        <w:rPr>
          <w:rFonts w:hint="eastAsia"/>
        </w:rPr>
        <w:t>设计成果包括以下内容：</w:t>
      </w:r>
    </w:p>
    <w:p>
      <w:pPr>
        <w:numPr>
          <w:ilvl w:val="0"/>
          <w:numId w:val="1"/>
        </w:numPr>
        <w:ind w:firstLine="480" w:firstLineChars="200"/>
      </w:pPr>
      <w:r>
        <w:rPr>
          <w:rFonts w:hint="eastAsia"/>
        </w:rPr>
        <w:t>项目基地分析</w:t>
      </w:r>
    </w:p>
    <w:p>
      <w:pPr>
        <w:numPr>
          <w:ilvl w:val="0"/>
          <w:numId w:val="1"/>
        </w:numPr>
        <w:ind w:firstLine="480" w:firstLineChars="200"/>
      </w:pPr>
      <w:r>
        <w:rPr>
          <w:rFonts w:hint="eastAsia"/>
        </w:rPr>
        <w:t>设计说明</w:t>
      </w:r>
    </w:p>
    <w:p>
      <w:pPr>
        <w:numPr>
          <w:ilvl w:val="0"/>
          <w:numId w:val="1"/>
        </w:numPr>
        <w:ind w:firstLine="480" w:firstLineChars="200"/>
      </w:pPr>
      <w:r>
        <w:rPr>
          <w:rFonts w:hint="eastAsia"/>
        </w:rPr>
        <w:t>景观设计方案彩色总平面图(注明所有技术指标)</w:t>
      </w:r>
    </w:p>
    <w:p>
      <w:pPr>
        <w:numPr>
          <w:ilvl w:val="0"/>
          <w:numId w:val="1"/>
        </w:numPr>
        <w:ind w:firstLine="480" w:firstLineChars="200"/>
      </w:pPr>
      <w:r>
        <w:rPr>
          <w:rFonts w:hint="eastAsia"/>
        </w:rPr>
        <w:t>景观结构分析图，包括功能布局分析图、空间序列关系分析图、交通流线组织规划分析图</w:t>
      </w:r>
      <w:r>
        <w:t>、</w:t>
      </w:r>
      <w:r>
        <w:rPr>
          <w:rFonts w:hint="eastAsia"/>
        </w:rPr>
        <w:t>主次流线分析图、竖向设计分析图等。</w:t>
      </w:r>
    </w:p>
    <w:p>
      <w:pPr>
        <w:numPr>
          <w:ilvl w:val="0"/>
          <w:numId w:val="1"/>
        </w:numPr>
        <w:ind w:firstLine="480" w:firstLineChars="200"/>
      </w:pPr>
      <w:r>
        <w:rPr>
          <w:rFonts w:hint="eastAsia"/>
        </w:rPr>
        <w:t>各功能节点平面布置放大图</w:t>
      </w:r>
      <w:r>
        <w:t xml:space="preserve"> (</w:t>
      </w:r>
      <w:r>
        <w:rPr>
          <w:rFonts w:hint="eastAsia"/>
        </w:rPr>
        <w:t>彩色</w:t>
      </w:r>
      <w:r>
        <w:t>)</w:t>
      </w:r>
      <w:r>
        <w:rPr>
          <w:rFonts w:hint="eastAsia"/>
        </w:rPr>
        <w:t>，局部景观剖/立面图，局部景观设计意象图，能清楚表达重要节点的空间效果、主要材质等。</w:t>
      </w:r>
    </w:p>
    <w:p>
      <w:pPr>
        <w:numPr>
          <w:ilvl w:val="0"/>
          <w:numId w:val="1"/>
        </w:numPr>
        <w:ind w:firstLine="480" w:firstLineChars="200"/>
      </w:pPr>
      <w:r>
        <w:rPr>
          <w:rFonts w:hint="eastAsia"/>
        </w:rPr>
        <w:t>整体鸟瞰图（不少于5张）其它节点效果图不少于10张。要确实反映出重要空间区域的竖向变化，立面效果。高差变化较大地段的场地景观断面图</w:t>
      </w:r>
      <w:r>
        <w:t>(</w:t>
      </w:r>
      <w:r>
        <w:rPr>
          <w:rFonts w:hint="eastAsia"/>
        </w:rPr>
        <w:t>视设计需要</w:t>
      </w:r>
      <w:r>
        <w:t>)。</w:t>
      </w:r>
    </w:p>
    <w:p>
      <w:pPr>
        <w:numPr>
          <w:ilvl w:val="0"/>
          <w:numId w:val="1"/>
        </w:numPr>
        <w:ind w:firstLine="480" w:firstLineChars="200"/>
        <w:rPr>
          <w:strike/>
        </w:rPr>
      </w:pPr>
      <w:r>
        <w:rPr>
          <w:rFonts w:hint="eastAsia"/>
        </w:rPr>
        <w:t>景观风格意向图片、重要景点参考图片。</w:t>
      </w:r>
    </w:p>
    <w:p>
      <w:pPr>
        <w:numPr>
          <w:ilvl w:val="0"/>
          <w:numId w:val="1"/>
        </w:numPr>
        <w:ind w:firstLine="480" w:firstLineChars="200"/>
      </w:pPr>
      <w:r>
        <w:rPr>
          <w:rFonts w:hint="eastAsia"/>
        </w:rPr>
        <w:t>小区内部游泳池设计形式效果图，面积大小，配套更衣室及管理方式设计。</w:t>
      </w:r>
    </w:p>
    <w:p>
      <w:pPr>
        <w:numPr>
          <w:ilvl w:val="0"/>
          <w:numId w:val="1"/>
        </w:numPr>
        <w:ind w:firstLine="480" w:firstLineChars="200"/>
      </w:pPr>
      <w:r>
        <w:rPr>
          <w:rFonts w:hint="eastAsia"/>
        </w:rPr>
        <w:t>铺装总平面，物料表和物料的彩色图片。</w:t>
      </w:r>
    </w:p>
    <w:p>
      <w:pPr>
        <w:numPr>
          <w:ilvl w:val="0"/>
          <w:numId w:val="1"/>
        </w:numPr>
        <w:ind w:firstLine="480" w:firstLineChars="200"/>
      </w:pPr>
      <w:r>
        <w:rPr>
          <w:rFonts w:hint="eastAsia"/>
        </w:rPr>
        <w:t>小区内部的无障碍系统设计。</w:t>
      </w:r>
    </w:p>
    <w:p>
      <w:pPr>
        <w:numPr>
          <w:ilvl w:val="0"/>
          <w:numId w:val="1"/>
        </w:numPr>
        <w:ind w:firstLine="480" w:firstLineChars="200"/>
      </w:pPr>
      <w:r>
        <w:rPr>
          <w:rFonts w:hint="eastAsia"/>
        </w:rPr>
        <w:t>小区入口、小区入口大门、保安亭、住户入户等相关景观设计内容，能清楚表达关系的效果、主要材质等。</w:t>
      </w:r>
    </w:p>
    <w:p>
      <w:pPr>
        <w:numPr>
          <w:ilvl w:val="0"/>
          <w:numId w:val="1"/>
        </w:numPr>
        <w:ind w:firstLine="480" w:firstLineChars="200"/>
      </w:pPr>
      <w:r>
        <w:rPr>
          <w:rFonts w:hint="eastAsia"/>
        </w:rPr>
        <w:t>精神堡垒、</w:t>
      </w:r>
      <w:r>
        <w:rPr>
          <w:rFonts w:hint="eastAsia" w:ascii="宋体" w:hAnsi="宋体"/>
        </w:rPr>
        <w:t>构筑</w:t>
      </w:r>
      <w:r>
        <w:rPr>
          <w:rFonts w:hint="eastAsia"/>
        </w:rPr>
        <w:t>、水景、围墙、雕塑、</w:t>
      </w:r>
      <w:r>
        <w:rPr>
          <w:rFonts w:hint="eastAsia" w:ascii="宋体" w:hAnsi="宋体"/>
        </w:rPr>
        <w:t>地下车库出入口及车库顶棚、地下车库人行出入口及顶棚、</w:t>
      </w:r>
      <w:r>
        <w:rPr>
          <w:rFonts w:hint="eastAsia"/>
        </w:rPr>
        <w:t>小品、标识牌、室外家具、室外音响各专项设计内容（重点部分需佂对项目出设计方案，不得全部采用设计意向）。</w:t>
      </w:r>
    </w:p>
    <w:p>
      <w:pPr>
        <w:numPr>
          <w:ilvl w:val="0"/>
          <w:numId w:val="1"/>
        </w:numPr>
        <w:ind w:firstLine="480" w:firstLineChars="200"/>
      </w:pPr>
      <w:r>
        <w:rPr>
          <w:rFonts w:hint="eastAsia"/>
        </w:rPr>
        <w:t>绿化配置模式分析，含乔木、灌木、地被；骨干乔木的平面布置图；植物选型参考图片及效果控制要求，依据配置模式进行策略性布置。</w:t>
      </w:r>
    </w:p>
    <w:p>
      <w:pPr>
        <w:numPr>
          <w:ilvl w:val="0"/>
          <w:numId w:val="1"/>
        </w:numPr>
        <w:ind w:firstLine="480" w:firstLineChars="200"/>
      </w:pPr>
      <w:r>
        <w:rPr>
          <w:rFonts w:hint="eastAsia"/>
        </w:rPr>
        <w:t>景观照明设计说明及主要灯具意向图、设计图。</w:t>
      </w:r>
    </w:p>
    <w:p>
      <w:pPr>
        <w:numPr>
          <w:ilvl w:val="0"/>
          <w:numId w:val="1"/>
        </w:numPr>
        <w:ind w:firstLine="480" w:firstLineChars="200"/>
      </w:pPr>
      <w:r>
        <w:rPr>
          <w:rFonts w:hint="eastAsia"/>
        </w:rPr>
        <w:t>小区监控位置点位布置图等。</w:t>
      </w:r>
    </w:p>
    <w:p>
      <w:pPr>
        <w:numPr>
          <w:ilvl w:val="0"/>
          <w:numId w:val="1"/>
        </w:numPr>
        <w:ind w:firstLine="480" w:firstLineChars="200"/>
      </w:pPr>
      <w:r>
        <w:rPr>
          <w:rFonts w:hint="eastAsia"/>
        </w:rPr>
        <w:t>设计师认为可以表达其设计思路的其他图纸。</w:t>
      </w:r>
    </w:p>
    <w:p>
      <w:pPr>
        <w:numPr>
          <w:ilvl w:val="0"/>
          <w:numId w:val="1"/>
        </w:numPr>
        <w:ind w:firstLine="480" w:firstLineChars="200"/>
      </w:pPr>
      <w:r>
        <w:rPr>
          <w:rFonts w:hint="eastAsia"/>
        </w:rPr>
        <w:t>工程成本估算。</w:t>
      </w:r>
    </w:p>
    <w:p>
      <w:pPr>
        <w:numPr>
          <w:ilvl w:val="0"/>
          <w:numId w:val="1"/>
        </w:numPr>
        <w:ind w:firstLine="480" w:firstLineChars="200"/>
      </w:pPr>
      <w:r>
        <w:rPr>
          <w:rFonts w:hint="eastAsia"/>
        </w:rPr>
        <w:t>动画视屏效果展示。</w:t>
      </w:r>
    </w:p>
    <w:p>
      <w:pPr>
        <w:pStyle w:val="5"/>
      </w:pPr>
      <w:r>
        <w:rPr>
          <w:rFonts w:hint="eastAsia"/>
        </w:rPr>
        <w:t>5.</w:t>
      </w:r>
      <w:r>
        <w:rPr>
          <w:rFonts w:hint="eastAsia"/>
          <w:lang w:val="en-US"/>
        </w:rPr>
        <w:t>2</w:t>
      </w:r>
      <w:r>
        <w:rPr>
          <w:rFonts w:hint="eastAsia"/>
        </w:rPr>
        <w:t>扩初设计</w:t>
      </w:r>
    </w:p>
    <w:p>
      <w:pPr>
        <w:ind w:firstLine="480" w:firstLineChars="200"/>
        <w:rPr>
          <w:rFonts w:ascii="宋体" w:hAnsi="宋体"/>
        </w:rPr>
      </w:pPr>
      <w:r>
        <w:rPr>
          <w:rFonts w:hint="eastAsia"/>
        </w:rPr>
        <w:t>乙方应向甲方提供设计图纸、文本</w:t>
      </w:r>
      <w:r>
        <w:rPr>
          <w:rFonts w:hint="eastAsia" w:ascii="宋体" w:hAnsi="宋体"/>
        </w:rPr>
        <w:t>设计文本（含设计概算书）10套，电子光盘3套。</w:t>
      </w:r>
    </w:p>
    <w:p>
      <w:pPr>
        <w:ind w:firstLine="480" w:firstLineChars="200"/>
      </w:pPr>
      <w:r>
        <w:rPr>
          <w:rFonts w:hint="eastAsia"/>
        </w:rPr>
        <w:t>设计成果包括以下内容：</w:t>
      </w:r>
    </w:p>
    <w:p>
      <w:pPr>
        <w:pStyle w:val="6"/>
        <w:rPr>
          <w:sz w:val="22"/>
        </w:rPr>
      </w:pPr>
      <w:r>
        <w:rPr>
          <w:rFonts w:hint="eastAsia"/>
          <w:sz w:val="22"/>
        </w:rPr>
        <w:t>（一）园建</w:t>
      </w:r>
    </w:p>
    <w:p>
      <w:pPr>
        <w:pStyle w:val="7"/>
        <w:rPr>
          <w:sz w:val="22"/>
          <w:lang w:val="zh-CN"/>
        </w:rPr>
      </w:pPr>
      <w:r>
        <w:rPr>
          <w:rFonts w:hint="eastAsia"/>
          <w:sz w:val="22"/>
          <w:lang w:val="zh-CN"/>
        </w:rPr>
        <w:t>1、总平面图</w:t>
      </w:r>
    </w:p>
    <w:p>
      <w:pPr>
        <w:ind w:firstLine="480" w:firstLineChars="200"/>
      </w:pPr>
      <w:r>
        <w:t>（1）</w:t>
      </w:r>
      <w:r>
        <w:rPr>
          <w:rFonts w:hint="eastAsia"/>
        </w:rPr>
        <w:t>总平面节点名称标注图、竖向标高图、索引图、尺寸标注图、坐标定位图、铺装材料图。</w:t>
      </w:r>
    </w:p>
    <w:p>
      <w:pPr>
        <w:ind w:firstLine="480" w:firstLineChars="200"/>
      </w:pPr>
      <w:r>
        <w:rPr>
          <w:rFonts w:hint="eastAsia"/>
        </w:rPr>
        <w:t>（2）总平面图必须有准确的放线依据。</w:t>
      </w:r>
    </w:p>
    <w:p>
      <w:pPr>
        <w:pStyle w:val="18"/>
        <w:ind w:left="480" w:leftChars="200" w:firstLine="0" w:firstLineChars="0"/>
      </w:pPr>
      <w:r>
        <w:rPr>
          <w:rFonts w:hint="eastAsia"/>
          <w:lang w:val="zh-CN"/>
        </w:rPr>
        <w:t>（</w:t>
      </w:r>
      <w:r>
        <w:rPr>
          <w:rFonts w:hint="eastAsia"/>
        </w:rPr>
        <w:t>3</w:t>
      </w:r>
      <w:r>
        <w:rPr>
          <w:rFonts w:hint="eastAsia"/>
          <w:lang w:val="zh-CN"/>
        </w:rPr>
        <w:t>）竖向设计图：</w:t>
      </w:r>
      <w:r>
        <w:rPr>
          <w:rFonts w:hint="eastAsia"/>
        </w:rPr>
        <w:t>分别表示现状和设计高程；设计等高线，等高距为0.25米～0.5米；绿地高程用等高线表示，画出排水方向、雨水口位置；建筑出入口与室外标高；道路、折点处标高、纵坡坡度；必要时增加土方调配图，方格为2米×2米～10米×10米，标明各方格点原地面标高、设计标高、填挖高度，列出土方平衡表。</w:t>
      </w:r>
    </w:p>
    <w:p>
      <w:pPr>
        <w:pStyle w:val="7"/>
        <w:rPr>
          <w:sz w:val="22"/>
          <w:lang w:val="zh-CN"/>
        </w:rPr>
      </w:pPr>
      <w:r>
        <w:rPr>
          <w:rFonts w:hint="eastAsia"/>
          <w:sz w:val="22"/>
        </w:rPr>
        <w:t>2、功能节点及园路</w:t>
      </w:r>
      <w:r>
        <w:rPr>
          <w:rFonts w:hint="eastAsia"/>
          <w:sz w:val="22"/>
          <w:lang w:val="zh-CN"/>
        </w:rPr>
        <w:t>设计图</w:t>
      </w:r>
    </w:p>
    <w:p>
      <w:pPr>
        <w:ind w:firstLine="480" w:firstLineChars="200"/>
      </w:pPr>
      <w:r>
        <w:rPr>
          <w:rFonts w:hint="eastAsia"/>
        </w:rPr>
        <w:t>（1）各功能节点及园路尺寸、材料、竖向标高、索引平面图。</w:t>
      </w:r>
    </w:p>
    <w:p>
      <w:pPr>
        <w:ind w:firstLine="480" w:firstLineChars="200"/>
      </w:pPr>
      <w:r>
        <w:rPr>
          <w:rFonts w:hint="eastAsia"/>
        </w:rPr>
        <w:t>（2）尺寸标注清晰，不规则型的用方格网（或轴线、中心线）控制位置或线型；曲线功能节点及园路标出转弯半径或以方格网。</w:t>
      </w:r>
    </w:p>
    <w:p>
      <w:pPr>
        <w:pStyle w:val="18"/>
        <w:ind w:left="480" w:leftChars="200" w:firstLine="0" w:firstLineChars="0"/>
        <w:rPr>
          <w:highlight w:val="cyan"/>
        </w:rPr>
      </w:pPr>
      <w:r>
        <w:rPr>
          <w:rFonts w:hint="eastAsia"/>
        </w:rPr>
        <w:t>（3）竖向标高：功能节点中心及四周标高、排水方向标注清楚；道路转折点标高、路面纵向坡度、路中标高、路面横向坡度标注清楚。功能节点及道路与周边环境的标高关系表达清晰。雨水口位置、雨水蓖形式详图。</w:t>
      </w:r>
    </w:p>
    <w:p>
      <w:pPr>
        <w:pStyle w:val="18"/>
        <w:ind w:left="480" w:leftChars="200" w:firstLine="0" w:firstLineChars="0"/>
      </w:pPr>
      <w:r>
        <w:rPr>
          <w:rFonts w:hint="eastAsia"/>
        </w:rPr>
        <w:t>（4）铺装：材料颜色、材料类型、面层形式、规格大小及厚度标注清楚；铺装缝线允许尺寸，以毫米为单位；路牙与路面结合部作法、路牙与绿地结合部高程作法；异型铺装块与道牙衔接处理；正方形铺装块折点、转弯处作法。</w:t>
      </w:r>
    </w:p>
    <w:p>
      <w:pPr>
        <w:pStyle w:val="18"/>
        <w:ind w:left="480" w:leftChars="200" w:firstLine="0" w:firstLineChars="0"/>
      </w:pPr>
      <w:r>
        <w:rPr>
          <w:rFonts w:hint="eastAsia"/>
        </w:rPr>
        <w:t>（5）图的比例尺为1：20～1：100。</w:t>
      </w:r>
    </w:p>
    <w:p>
      <w:pPr>
        <w:pStyle w:val="7"/>
      </w:pPr>
      <w:r>
        <w:rPr>
          <w:rFonts w:hint="eastAsia"/>
          <w:sz w:val="22"/>
        </w:rPr>
        <w:t xml:space="preserve">3. </w:t>
      </w:r>
      <w:r>
        <w:rPr>
          <w:rFonts w:hint="eastAsia"/>
          <w:sz w:val="22"/>
          <w:lang w:val="zh-CN"/>
        </w:rPr>
        <w:t>构筑物：</w:t>
      </w:r>
      <w:r>
        <w:rPr>
          <w:rFonts w:hint="eastAsia"/>
          <w:sz w:val="22"/>
        </w:rPr>
        <w:t>精神堡垒、廊架、小区入口大门、保安亭、泳池配套房等</w:t>
      </w:r>
    </w:p>
    <w:p>
      <w:pPr>
        <w:pStyle w:val="18"/>
        <w:numPr>
          <w:ilvl w:val="0"/>
          <w:numId w:val="2"/>
        </w:numPr>
        <w:ind w:firstLine="480"/>
      </w:pPr>
      <w:r>
        <w:rPr>
          <w:rFonts w:hint="eastAsia"/>
        </w:rPr>
        <w:t>各构筑物的底平面图、顶平面；</w:t>
      </w:r>
    </w:p>
    <w:p>
      <w:pPr>
        <w:pStyle w:val="18"/>
        <w:numPr>
          <w:ilvl w:val="0"/>
          <w:numId w:val="2"/>
        </w:numPr>
        <w:ind w:firstLine="480"/>
      </w:pPr>
      <w:r>
        <w:rPr>
          <w:rFonts w:hint="eastAsia"/>
        </w:rPr>
        <w:t>各构筑物的正立面及主要侧立面图。</w:t>
      </w:r>
    </w:p>
    <w:p>
      <w:pPr>
        <w:pStyle w:val="18"/>
        <w:numPr>
          <w:ilvl w:val="0"/>
          <w:numId w:val="2"/>
        </w:numPr>
        <w:ind w:firstLine="480"/>
      </w:pPr>
      <w:r>
        <w:rPr>
          <w:rFonts w:hint="eastAsia"/>
        </w:rPr>
        <w:t>各部位有代表性的形式大样图。</w:t>
      </w:r>
    </w:p>
    <w:p>
      <w:pPr>
        <w:pStyle w:val="18"/>
        <w:numPr>
          <w:ilvl w:val="0"/>
          <w:numId w:val="2"/>
        </w:numPr>
        <w:ind w:firstLine="480"/>
      </w:pPr>
      <w:r>
        <w:rPr>
          <w:rFonts w:hint="eastAsia"/>
        </w:rPr>
        <w:t>尺寸明确、材料颜色、面层、材料类型、厚度、规格大小清晰。</w:t>
      </w:r>
    </w:p>
    <w:p>
      <w:pPr>
        <w:pStyle w:val="7"/>
        <w:numPr>
          <w:ilvl w:val="0"/>
          <w:numId w:val="3"/>
        </w:numPr>
        <w:rPr>
          <w:sz w:val="22"/>
          <w:lang w:val="zh-CN"/>
        </w:rPr>
      </w:pPr>
      <w:r>
        <w:rPr>
          <w:rFonts w:hint="eastAsia"/>
          <w:sz w:val="22"/>
        </w:rPr>
        <w:t>游泳池、水景</w:t>
      </w:r>
    </w:p>
    <w:p>
      <w:pPr>
        <w:pStyle w:val="18"/>
        <w:numPr>
          <w:ilvl w:val="0"/>
          <w:numId w:val="4"/>
        </w:numPr>
        <w:ind w:firstLine="480"/>
      </w:pPr>
      <w:r>
        <w:rPr>
          <w:rFonts w:hint="eastAsia"/>
        </w:rPr>
        <w:t>游泳池及水景尺寸、材料、竖向标高、索引平面图；</w:t>
      </w:r>
    </w:p>
    <w:p>
      <w:pPr>
        <w:pStyle w:val="18"/>
        <w:numPr>
          <w:ilvl w:val="0"/>
          <w:numId w:val="4"/>
        </w:numPr>
        <w:ind w:firstLine="480"/>
      </w:pPr>
      <w:r>
        <w:rPr>
          <w:rFonts w:hint="eastAsia"/>
        </w:rPr>
        <w:t>与周围环境、构筑物、地上地下管线的距离尺寸。</w:t>
      </w:r>
    </w:p>
    <w:p>
      <w:pPr>
        <w:pStyle w:val="18"/>
        <w:numPr>
          <w:ilvl w:val="0"/>
          <w:numId w:val="4"/>
        </w:numPr>
        <w:ind w:firstLine="480"/>
      </w:pPr>
      <w:r>
        <w:rPr>
          <w:rFonts w:hint="eastAsia"/>
        </w:rPr>
        <w:t>周围地形标高与池岸标高。</w:t>
      </w:r>
    </w:p>
    <w:p>
      <w:pPr>
        <w:pStyle w:val="18"/>
        <w:numPr>
          <w:ilvl w:val="0"/>
          <w:numId w:val="4"/>
        </w:numPr>
        <w:ind w:firstLine="480"/>
      </w:pPr>
      <w:r>
        <w:rPr>
          <w:rFonts w:hint="eastAsia"/>
        </w:rPr>
        <w:t>池岸岸顶标高、岸底标高。</w:t>
      </w:r>
    </w:p>
    <w:p>
      <w:pPr>
        <w:pStyle w:val="18"/>
        <w:numPr>
          <w:ilvl w:val="0"/>
          <w:numId w:val="4"/>
        </w:numPr>
        <w:ind w:firstLine="480"/>
      </w:pPr>
      <w:r>
        <w:rPr>
          <w:rFonts w:hint="eastAsia"/>
        </w:rPr>
        <w:t>池底转折点、池底中心、池底标高、排水方向。</w:t>
      </w:r>
    </w:p>
    <w:p>
      <w:pPr>
        <w:pStyle w:val="18"/>
        <w:numPr>
          <w:ilvl w:val="0"/>
          <w:numId w:val="4"/>
        </w:numPr>
        <w:ind w:firstLine="480"/>
      </w:pPr>
      <w:r>
        <w:rPr>
          <w:rFonts w:hint="eastAsia"/>
        </w:rPr>
        <w:t>进水口、排水口、溢水口的位置、标高。</w:t>
      </w:r>
    </w:p>
    <w:p>
      <w:pPr>
        <w:pStyle w:val="18"/>
        <w:numPr>
          <w:ilvl w:val="0"/>
          <w:numId w:val="4"/>
        </w:numPr>
        <w:ind w:firstLine="480"/>
      </w:pPr>
      <w:r>
        <w:rPr>
          <w:rFonts w:hint="eastAsia"/>
        </w:rPr>
        <w:t>泵房、泵坑的位置、尺寸、标高。</w:t>
      </w:r>
    </w:p>
    <w:p>
      <w:pPr>
        <w:pStyle w:val="18"/>
        <w:numPr>
          <w:ilvl w:val="0"/>
          <w:numId w:val="4"/>
        </w:numPr>
        <w:ind w:firstLine="480"/>
      </w:pPr>
      <w:r>
        <w:rPr>
          <w:rFonts w:hint="eastAsia"/>
        </w:rPr>
        <w:t>池岸、池底进出水口高程。</w:t>
      </w:r>
    </w:p>
    <w:p>
      <w:pPr>
        <w:numPr>
          <w:ilvl w:val="0"/>
          <w:numId w:val="5"/>
        </w:numPr>
        <w:rPr>
          <w:b/>
          <w:sz w:val="22"/>
        </w:rPr>
      </w:pPr>
      <w:r>
        <w:rPr>
          <w:rFonts w:hint="eastAsia"/>
          <w:b/>
          <w:sz w:val="22"/>
        </w:rPr>
        <w:t>通用图纸</w:t>
      </w:r>
    </w:p>
    <w:p>
      <w:pPr>
        <w:numPr>
          <w:ilvl w:val="0"/>
          <w:numId w:val="6"/>
        </w:numPr>
        <w:ind w:firstLine="480" w:firstLineChars="200"/>
      </w:pPr>
      <w:r>
        <w:rPr>
          <w:rFonts w:hint="eastAsia"/>
        </w:rPr>
        <w:t>围墙、地下车库出入口顶棚、</w:t>
      </w:r>
      <w:r>
        <w:rPr>
          <w:rFonts w:hint="eastAsia" w:ascii="宋体" w:hAnsi="宋体"/>
        </w:rPr>
        <w:t>地下车库人行出入口顶棚</w:t>
      </w:r>
      <w:r>
        <w:rPr>
          <w:rFonts w:hint="eastAsia"/>
        </w:rPr>
        <w:t>等专项设计的材料、尺寸、正立面、侧面图及细部形式详图。</w:t>
      </w:r>
    </w:p>
    <w:p>
      <w:pPr>
        <w:numPr>
          <w:ilvl w:val="0"/>
          <w:numId w:val="6"/>
        </w:numPr>
        <w:ind w:firstLine="480" w:firstLineChars="200"/>
        <w:rPr>
          <w:rFonts w:hint="eastAsia"/>
        </w:rPr>
      </w:pPr>
      <w:r>
        <w:rPr>
          <w:rFonts w:hint="eastAsia"/>
        </w:rPr>
        <w:t>标识牌、雕塑、小品、灯具、室外家具、室外音响（不包括二次深化设计）等专项设计的材料、尺寸、正立面、侧面图及细部形式详图。</w:t>
      </w:r>
    </w:p>
    <w:p>
      <w:pPr>
        <w:numPr>
          <w:ilvl w:val="0"/>
          <w:numId w:val="6"/>
        </w:numPr>
        <w:ind w:firstLine="480" w:firstLineChars="200"/>
      </w:pPr>
      <w:r>
        <w:rPr>
          <w:rFonts w:hint="eastAsia"/>
        </w:rPr>
        <w:t>根据图纸内容所需的铺装、雨水篦子等内容的样式详图。</w:t>
      </w:r>
    </w:p>
    <w:p>
      <w:pPr>
        <w:pStyle w:val="6"/>
        <w:rPr>
          <w:sz w:val="22"/>
          <w:lang w:val="zh-CN"/>
        </w:rPr>
      </w:pPr>
      <w:r>
        <w:rPr>
          <w:rFonts w:hint="eastAsia"/>
          <w:sz w:val="22"/>
          <w:lang w:val="zh-CN"/>
        </w:rPr>
        <w:t>（</w:t>
      </w:r>
      <w:r>
        <w:rPr>
          <w:rFonts w:hint="eastAsia"/>
          <w:sz w:val="22"/>
        </w:rPr>
        <w:t>二</w:t>
      </w:r>
      <w:r>
        <w:rPr>
          <w:rFonts w:hint="eastAsia"/>
          <w:sz w:val="22"/>
          <w:lang w:val="zh-CN"/>
        </w:rPr>
        <w:t>）种植设计图</w:t>
      </w:r>
    </w:p>
    <w:p>
      <w:pPr>
        <w:rPr>
          <w:b/>
          <w:sz w:val="22"/>
          <w:lang w:val="zh-CN"/>
        </w:rPr>
      </w:pPr>
      <w:r>
        <w:rPr>
          <w:rFonts w:hint="eastAsia"/>
          <w:b/>
          <w:sz w:val="22"/>
        </w:rPr>
        <w:t xml:space="preserve">1. </w:t>
      </w:r>
      <w:r>
        <w:rPr>
          <w:rFonts w:hint="eastAsia"/>
          <w:b/>
          <w:sz w:val="22"/>
          <w:lang w:val="zh-CN"/>
        </w:rPr>
        <w:t>平面图：</w:t>
      </w:r>
    </w:p>
    <w:p>
      <w:pPr>
        <w:pStyle w:val="18"/>
        <w:numPr>
          <w:ilvl w:val="0"/>
          <w:numId w:val="7"/>
        </w:numPr>
        <w:ind w:firstLine="480"/>
      </w:pPr>
      <w:r>
        <w:rPr>
          <w:rFonts w:hint="eastAsia"/>
        </w:rPr>
        <w:t>在图上应按实际距离尺寸标注出各种园林植物品种、数量。</w:t>
      </w:r>
    </w:p>
    <w:p>
      <w:pPr>
        <w:pStyle w:val="18"/>
        <w:numPr>
          <w:ilvl w:val="0"/>
          <w:numId w:val="7"/>
        </w:numPr>
        <w:ind w:firstLine="480"/>
      </w:pPr>
      <w:r>
        <w:rPr>
          <w:rFonts w:hint="eastAsia"/>
        </w:rPr>
        <w:t>标明与周围固定构筑物和地上地下管线距离的尺寸。</w:t>
      </w:r>
    </w:p>
    <w:p>
      <w:pPr>
        <w:pStyle w:val="18"/>
        <w:numPr>
          <w:ilvl w:val="0"/>
          <w:numId w:val="7"/>
        </w:numPr>
        <w:ind w:firstLine="480"/>
      </w:pPr>
      <w:r>
        <w:rPr>
          <w:rFonts w:hint="eastAsia"/>
        </w:rPr>
        <w:t>图的比例尺为1：100～1：300。</w:t>
      </w:r>
    </w:p>
    <w:p>
      <w:pPr>
        <w:numPr>
          <w:ilvl w:val="0"/>
          <w:numId w:val="8"/>
        </w:numPr>
        <w:rPr>
          <w:b/>
          <w:sz w:val="22"/>
          <w:lang w:val="zh-CN"/>
        </w:rPr>
      </w:pPr>
      <w:r>
        <w:rPr>
          <w:rFonts w:hint="eastAsia"/>
          <w:b/>
          <w:sz w:val="22"/>
          <w:lang w:val="zh-CN"/>
        </w:rPr>
        <w:t>立面、剖面图：</w:t>
      </w:r>
    </w:p>
    <w:p>
      <w:pPr>
        <w:pStyle w:val="18"/>
        <w:numPr>
          <w:ilvl w:val="0"/>
          <w:numId w:val="9"/>
        </w:numPr>
        <w:ind w:firstLine="480"/>
      </w:pPr>
      <w:r>
        <w:rPr>
          <w:rFonts w:hint="eastAsia"/>
        </w:rPr>
        <w:t>提供主要景观轴线上连续景观剖面以及关键节点、转角处景观展开图、在竖向上标明各园林植物之间的层次关系、园林植物与周围环境及地上地下管线设施之间的关系，明确标高。</w:t>
      </w:r>
    </w:p>
    <w:p>
      <w:pPr>
        <w:pStyle w:val="18"/>
        <w:numPr>
          <w:ilvl w:val="0"/>
          <w:numId w:val="9"/>
        </w:numPr>
        <w:ind w:firstLine="480"/>
      </w:pPr>
      <w:r>
        <w:rPr>
          <w:rFonts w:hint="eastAsia"/>
        </w:rPr>
        <w:t>标明施工时准备选用的园林植物的高度、体型。</w:t>
      </w:r>
    </w:p>
    <w:p>
      <w:pPr>
        <w:pStyle w:val="18"/>
        <w:numPr>
          <w:ilvl w:val="0"/>
          <w:numId w:val="9"/>
        </w:numPr>
        <w:ind w:firstLine="480"/>
      </w:pPr>
      <w:r>
        <w:rPr>
          <w:rFonts w:hint="eastAsia"/>
        </w:rPr>
        <w:t>标明与景石的关系。</w:t>
      </w:r>
    </w:p>
    <w:p>
      <w:pPr>
        <w:pStyle w:val="18"/>
        <w:numPr>
          <w:ilvl w:val="0"/>
          <w:numId w:val="9"/>
        </w:numPr>
        <w:ind w:firstLine="480"/>
      </w:pPr>
      <w:r>
        <w:rPr>
          <w:rFonts w:hint="eastAsia"/>
        </w:rPr>
        <w:t>图的比例尺为1：20～1：50。</w:t>
      </w:r>
    </w:p>
    <w:p>
      <w:pPr>
        <w:numPr>
          <w:ilvl w:val="0"/>
          <w:numId w:val="8"/>
        </w:numPr>
        <w:rPr>
          <w:b/>
          <w:sz w:val="22"/>
          <w:lang w:val="zh-CN"/>
        </w:rPr>
      </w:pPr>
      <w:r>
        <w:rPr>
          <w:rFonts w:hint="eastAsia"/>
          <w:b/>
          <w:sz w:val="22"/>
          <w:lang w:val="zh-CN"/>
        </w:rPr>
        <w:t>局部放大图：</w:t>
      </w:r>
    </w:p>
    <w:p>
      <w:pPr>
        <w:pStyle w:val="18"/>
        <w:numPr>
          <w:ilvl w:val="0"/>
          <w:numId w:val="10"/>
        </w:numPr>
        <w:ind w:firstLine="480"/>
      </w:pPr>
      <w:r>
        <w:rPr>
          <w:rFonts w:hint="eastAsia"/>
        </w:rPr>
        <w:t>重点树丛、各树种关系、主景树周围处理和覆层混交林种植详细尺寸。</w:t>
      </w:r>
    </w:p>
    <w:p>
      <w:pPr>
        <w:pStyle w:val="18"/>
        <w:numPr>
          <w:ilvl w:val="0"/>
          <w:numId w:val="10"/>
        </w:numPr>
        <w:ind w:firstLine="480"/>
      </w:pPr>
      <w:r>
        <w:rPr>
          <w:rFonts w:hint="eastAsia"/>
        </w:rPr>
        <w:t>花坛的花纹细部。</w:t>
      </w:r>
    </w:p>
    <w:p>
      <w:pPr>
        <w:pStyle w:val="18"/>
        <w:numPr>
          <w:ilvl w:val="0"/>
          <w:numId w:val="10"/>
        </w:numPr>
        <w:ind w:firstLine="480"/>
      </w:pPr>
      <w:r>
        <w:rPr>
          <w:rFonts w:hint="eastAsia"/>
        </w:rPr>
        <w:t>与景石的关系（如有）。</w:t>
      </w:r>
    </w:p>
    <w:p>
      <w:pPr>
        <w:numPr>
          <w:ilvl w:val="0"/>
          <w:numId w:val="8"/>
        </w:numPr>
        <w:rPr>
          <w:b/>
          <w:sz w:val="22"/>
          <w:lang w:val="zh-CN"/>
        </w:rPr>
      </w:pPr>
      <w:r>
        <w:rPr>
          <w:rFonts w:hint="eastAsia"/>
          <w:b/>
          <w:sz w:val="22"/>
          <w:lang w:val="zh-CN"/>
        </w:rPr>
        <w:t>作法说明：</w:t>
      </w:r>
    </w:p>
    <w:p>
      <w:pPr>
        <w:pStyle w:val="18"/>
        <w:numPr>
          <w:ilvl w:val="0"/>
          <w:numId w:val="11"/>
        </w:numPr>
        <w:ind w:firstLine="480"/>
      </w:pPr>
      <w:r>
        <w:rPr>
          <w:rFonts w:hint="eastAsia"/>
        </w:rPr>
        <w:t>与各市政设施、管线管理单位配合情况的交代。</w:t>
      </w:r>
    </w:p>
    <w:p>
      <w:pPr>
        <w:pStyle w:val="18"/>
        <w:numPr>
          <w:ilvl w:val="0"/>
          <w:numId w:val="11"/>
        </w:numPr>
        <w:ind w:firstLine="480"/>
      </w:pPr>
      <w:r>
        <w:rPr>
          <w:rFonts w:hint="eastAsia"/>
        </w:rPr>
        <w:t>选用苗木的要求（品种、养护措施）。</w:t>
      </w:r>
    </w:p>
    <w:p>
      <w:pPr>
        <w:pStyle w:val="18"/>
        <w:numPr>
          <w:ilvl w:val="0"/>
          <w:numId w:val="11"/>
        </w:numPr>
        <w:ind w:firstLine="480"/>
      </w:pPr>
      <w:r>
        <w:rPr>
          <w:rFonts w:hint="eastAsia"/>
        </w:rPr>
        <w:t>栽植地区栽植土的土质要求。</w:t>
      </w:r>
    </w:p>
    <w:p>
      <w:pPr>
        <w:pStyle w:val="18"/>
        <w:numPr>
          <w:ilvl w:val="0"/>
          <w:numId w:val="11"/>
        </w:numPr>
        <w:ind w:firstLine="480"/>
      </w:pPr>
      <w:r>
        <w:rPr>
          <w:rFonts w:hint="eastAsia"/>
        </w:rPr>
        <w:t>苗木供应规格发生变动的处理。</w:t>
      </w:r>
    </w:p>
    <w:p>
      <w:pPr>
        <w:pStyle w:val="18"/>
        <w:numPr>
          <w:ilvl w:val="0"/>
          <w:numId w:val="11"/>
        </w:numPr>
        <w:ind w:firstLine="480"/>
      </w:pPr>
      <w:r>
        <w:rPr>
          <w:rFonts w:hint="eastAsia"/>
        </w:rPr>
        <w:t>重点地区采用大规格苗木采取号苗措施、苗木的编号与现场定位的方法。</w:t>
      </w:r>
    </w:p>
    <w:p>
      <w:pPr>
        <w:numPr>
          <w:ilvl w:val="0"/>
          <w:numId w:val="8"/>
        </w:numPr>
        <w:rPr>
          <w:b/>
          <w:sz w:val="22"/>
          <w:lang w:val="zh-CN"/>
        </w:rPr>
      </w:pPr>
      <w:r>
        <w:rPr>
          <w:rFonts w:hint="eastAsia"/>
          <w:b/>
          <w:sz w:val="22"/>
          <w:lang w:val="zh-CN"/>
        </w:rPr>
        <w:t>苗木表：</w:t>
      </w:r>
    </w:p>
    <w:p>
      <w:pPr>
        <w:pStyle w:val="18"/>
        <w:numPr>
          <w:ilvl w:val="0"/>
          <w:numId w:val="12"/>
        </w:numPr>
        <w:ind w:firstLine="480"/>
      </w:pPr>
      <w:r>
        <w:rPr>
          <w:rFonts w:hint="eastAsia"/>
        </w:rPr>
        <w:t>种类或品种。</w:t>
      </w:r>
    </w:p>
    <w:p>
      <w:pPr>
        <w:pStyle w:val="18"/>
        <w:numPr>
          <w:ilvl w:val="0"/>
          <w:numId w:val="12"/>
        </w:numPr>
        <w:ind w:firstLine="480"/>
      </w:pPr>
      <w:r>
        <w:rPr>
          <w:rFonts w:hint="eastAsia"/>
        </w:rPr>
        <w:t>规格、胸径以厘米为单位，写到小数点后一位；冠径、高度以米为单位，写到小数点后一位。</w:t>
      </w:r>
    </w:p>
    <w:p>
      <w:pPr>
        <w:pStyle w:val="18"/>
        <w:numPr>
          <w:ilvl w:val="0"/>
          <w:numId w:val="12"/>
        </w:numPr>
        <w:ind w:firstLine="480"/>
      </w:pPr>
      <w:r>
        <w:rPr>
          <w:rFonts w:hint="eastAsia"/>
        </w:rPr>
        <w:t>观花类标明花色。</w:t>
      </w:r>
    </w:p>
    <w:p>
      <w:pPr>
        <w:pStyle w:val="18"/>
        <w:numPr>
          <w:ilvl w:val="0"/>
          <w:numId w:val="12"/>
        </w:numPr>
        <w:ind w:firstLine="480"/>
      </w:pPr>
      <w:r>
        <w:rPr>
          <w:rFonts w:hint="eastAsia"/>
        </w:rPr>
        <w:t>数量。</w:t>
      </w:r>
    </w:p>
    <w:p>
      <w:pPr>
        <w:pStyle w:val="18"/>
        <w:numPr>
          <w:ilvl w:val="0"/>
          <w:numId w:val="12"/>
        </w:numPr>
        <w:ind w:firstLine="480"/>
      </w:pPr>
      <w:r>
        <w:rPr>
          <w:rFonts w:hint="eastAsia"/>
        </w:rPr>
        <w:t>对应的图片。</w:t>
      </w:r>
    </w:p>
    <w:p>
      <w:pPr>
        <w:pStyle w:val="6"/>
        <w:rPr>
          <w:sz w:val="22"/>
          <w:lang w:val="zh-CN"/>
        </w:rPr>
      </w:pPr>
      <w:r>
        <w:rPr>
          <w:rFonts w:hint="eastAsia"/>
          <w:sz w:val="22"/>
          <w:lang w:val="zh-CN"/>
        </w:rPr>
        <w:t>（</w:t>
      </w:r>
      <w:r>
        <w:rPr>
          <w:rFonts w:hint="eastAsia"/>
          <w:sz w:val="22"/>
        </w:rPr>
        <w:t>三</w:t>
      </w:r>
      <w:r>
        <w:rPr>
          <w:rFonts w:hint="eastAsia"/>
          <w:sz w:val="22"/>
          <w:lang w:val="zh-CN"/>
        </w:rPr>
        <w:t>）水、电布置图</w:t>
      </w:r>
    </w:p>
    <w:p>
      <w:pPr>
        <w:pStyle w:val="8"/>
        <w:ind w:firstLine="663" w:firstLineChars="300"/>
        <w:rPr>
          <w:sz w:val="22"/>
          <w:lang w:val="zh-CN"/>
        </w:rPr>
      </w:pPr>
      <w:r>
        <w:rPr>
          <w:rFonts w:hint="eastAsia"/>
          <w:sz w:val="22"/>
        </w:rPr>
        <w:t xml:space="preserve">1. </w:t>
      </w:r>
      <w:r>
        <w:rPr>
          <w:rFonts w:hint="eastAsia"/>
          <w:sz w:val="22"/>
          <w:lang w:val="zh-CN"/>
        </w:rPr>
        <w:t>给、排水设计</w:t>
      </w:r>
    </w:p>
    <w:p>
      <w:pPr>
        <w:pStyle w:val="18"/>
        <w:numPr>
          <w:ilvl w:val="0"/>
          <w:numId w:val="13"/>
        </w:numPr>
        <w:ind w:firstLine="480"/>
      </w:pPr>
      <w:r>
        <w:rPr>
          <w:rFonts w:hint="eastAsia"/>
        </w:rPr>
        <w:t>给排水平面图、系统图。</w:t>
      </w:r>
    </w:p>
    <w:p>
      <w:pPr>
        <w:pStyle w:val="18"/>
        <w:numPr>
          <w:ilvl w:val="0"/>
          <w:numId w:val="13"/>
        </w:numPr>
        <w:ind w:firstLine="480"/>
      </w:pPr>
      <w:r>
        <w:rPr>
          <w:rFonts w:hint="eastAsia"/>
        </w:rPr>
        <w:t>与周围环境、构筑物、地上地下其它管线的相对关系。</w:t>
      </w:r>
    </w:p>
    <w:p>
      <w:pPr>
        <w:pStyle w:val="18"/>
        <w:numPr>
          <w:ilvl w:val="0"/>
          <w:numId w:val="13"/>
        </w:numPr>
        <w:ind w:firstLine="480"/>
      </w:pPr>
      <w:r>
        <w:rPr>
          <w:rFonts w:hint="eastAsia"/>
        </w:rPr>
        <w:t>周围地形标高与管道标高。</w:t>
      </w:r>
    </w:p>
    <w:p>
      <w:pPr>
        <w:pStyle w:val="18"/>
        <w:numPr>
          <w:ilvl w:val="0"/>
          <w:numId w:val="13"/>
        </w:numPr>
        <w:ind w:firstLine="480"/>
      </w:pPr>
      <w:r>
        <w:rPr>
          <w:rFonts w:hint="eastAsia"/>
        </w:rPr>
        <w:t>管道规格、长度。</w:t>
      </w:r>
    </w:p>
    <w:p>
      <w:pPr>
        <w:pStyle w:val="18"/>
        <w:numPr>
          <w:ilvl w:val="0"/>
          <w:numId w:val="13"/>
        </w:numPr>
        <w:ind w:firstLine="480"/>
      </w:pPr>
      <w:r>
        <w:rPr>
          <w:rFonts w:hint="eastAsia"/>
        </w:rPr>
        <w:t>管道中心的标高、坡向。</w:t>
      </w:r>
    </w:p>
    <w:p>
      <w:pPr>
        <w:pStyle w:val="18"/>
        <w:numPr>
          <w:ilvl w:val="0"/>
          <w:numId w:val="13"/>
        </w:numPr>
        <w:ind w:firstLine="480"/>
      </w:pPr>
      <w:r>
        <w:rPr>
          <w:rFonts w:hint="eastAsia"/>
        </w:rPr>
        <w:t>雨水井、排水井、阀门井的位置及井盖板样式、标高。</w:t>
      </w:r>
    </w:p>
    <w:p>
      <w:pPr>
        <w:pStyle w:val="18"/>
        <w:numPr>
          <w:ilvl w:val="0"/>
          <w:numId w:val="13"/>
        </w:numPr>
        <w:ind w:firstLine="480"/>
      </w:pPr>
      <w:r>
        <w:rPr>
          <w:rFonts w:hint="eastAsia"/>
        </w:rPr>
        <w:t>泵房、泵坑的位置、尺寸、标高。</w:t>
      </w:r>
    </w:p>
    <w:p>
      <w:pPr>
        <w:pStyle w:val="18"/>
        <w:numPr>
          <w:ilvl w:val="0"/>
          <w:numId w:val="13"/>
        </w:numPr>
        <w:ind w:firstLine="480"/>
      </w:pPr>
      <w:r>
        <w:rPr>
          <w:rFonts w:hint="eastAsia"/>
        </w:rPr>
        <w:t>管道及设备进出水口标高。</w:t>
      </w:r>
    </w:p>
    <w:p>
      <w:pPr>
        <w:pStyle w:val="18"/>
        <w:numPr>
          <w:ilvl w:val="0"/>
          <w:numId w:val="13"/>
        </w:numPr>
        <w:ind w:firstLine="480"/>
      </w:pPr>
      <w:r>
        <w:rPr>
          <w:rFonts w:hint="eastAsia"/>
        </w:rPr>
        <w:t>各类浇灌阀门、喷灌头的位置、选型及相关参数。</w:t>
      </w:r>
    </w:p>
    <w:p>
      <w:pPr>
        <w:pStyle w:val="8"/>
        <w:numPr>
          <w:ilvl w:val="0"/>
          <w:numId w:val="14"/>
        </w:numPr>
        <w:ind w:firstLine="663" w:firstLineChars="300"/>
        <w:rPr>
          <w:sz w:val="22"/>
          <w:lang w:val="zh-CN"/>
        </w:rPr>
      </w:pPr>
      <w:r>
        <w:rPr>
          <w:rFonts w:hint="eastAsia"/>
          <w:sz w:val="22"/>
          <w:lang w:val="zh-CN"/>
        </w:rPr>
        <w:t>电气设计</w:t>
      </w:r>
    </w:p>
    <w:p>
      <w:pPr>
        <w:pStyle w:val="18"/>
        <w:numPr>
          <w:ilvl w:val="0"/>
          <w:numId w:val="15"/>
        </w:numPr>
        <w:ind w:firstLine="480"/>
      </w:pPr>
      <w:r>
        <w:rPr>
          <w:rFonts w:hint="eastAsia"/>
        </w:rPr>
        <w:t>灯具布置图、系统图。</w:t>
      </w:r>
    </w:p>
    <w:p>
      <w:pPr>
        <w:pStyle w:val="18"/>
        <w:numPr>
          <w:ilvl w:val="0"/>
          <w:numId w:val="15"/>
        </w:numPr>
        <w:ind w:firstLine="480"/>
      </w:pPr>
      <w:r>
        <w:rPr>
          <w:rFonts w:hint="eastAsia"/>
        </w:rPr>
        <w:t>灯具与周围环境、构筑物、地上地下其它管线的距离尺寸。</w:t>
      </w:r>
    </w:p>
    <w:p>
      <w:pPr>
        <w:pStyle w:val="18"/>
        <w:numPr>
          <w:ilvl w:val="0"/>
          <w:numId w:val="15"/>
        </w:numPr>
        <w:ind w:firstLine="480"/>
      </w:pPr>
      <w:r>
        <w:rPr>
          <w:rFonts w:hint="eastAsia"/>
        </w:rPr>
        <w:t>电缆（线）规格与周围环境、构筑物、地上地下其它管线的距离尺寸。</w:t>
      </w:r>
    </w:p>
    <w:p>
      <w:pPr>
        <w:pStyle w:val="18"/>
        <w:numPr>
          <w:ilvl w:val="0"/>
          <w:numId w:val="15"/>
        </w:numPr>
        <w:ind w:firstLine="480"/>
      </w:pPr>
      <w:r>
        <w:rPr>
          <w:rFonts w:hint="eastAsia"/>
        </w:rPr>
        <w:t>配电箱、柜的位置、尺寸、安装高度。</w:t>
      </w:r>
    </w:p>
    <w:p>
      <w:pPr>
        <w:pStyle w:val="18"/>
        <w:numPr>
          <w:ilvl w:val="0"/>
          <w:numId w:val="15"/>
        </w:numPr>
        <w:ind w:firstLine="480"/>
      </w:pPr>
      <w:r>
        <w:rPr>
          <w:rFonts w:hint="eastAsia"/>
        </w:rPr>
        <w:t>各类灯具的位置、选型图片及相关参数。</w:t>
      </w:r>
    </w:p>
    <w:p>
      <w:pPr>
        <w:pStyle w:val="8"/>
        <w:numPr>
          <w:ilvl w:val="0"/>
          <w:numId w:val="14"/>
        </w:numPr>
        <w:ind w:firstLine="663" w:firstLineChars="300"/>
        <w:rPr>
          <w:sz w:val="22"/>
          <w:lang w:val="zh-CN"/>
        </w:rPr>
      </w:pPr>
      <w:r>
        <w:rPr>
          <w:rFonts w:hint="eastAsia"/>
          <w:sz w:val="22"/>
        </w:rPr>
        <w:t>弱电</w:t>
      </w:r>
      <w:r>
        <w:rPr>
          <w:rFonts w:hint="eastAsia"/>
          <w:sz w:val="22"/>
          <w:lang w:val="zh-CN"/>
        </w:rPr>
        <w:t>设计</w:t>
      </w:r>
    </w:p>
    <w:p>
      <w:pPr>
        <w:pStyle w:val="18"/>
        <w:numPr>
          <w:ilvl w:val="0"/>
          <w:numId w:val="16"/>
        </w:numPr>
        <w:ind w:firstLineChars="0"/>
      </w:pPr>
      <w:r>
        <w:rPr>
          <w:rFonts w:hint="eastAsia"/>
        </w:rPr>
        <w:t>监控点位平面布置图。</w:t>
      </w:r>
    </w:p>
    <w:p>
      <w:pPr>
        <w:pStyle w:val="18"/>
        <w:numPr>
          <w:ilvl w:val="0"/>
          <w:numId w:val="16"/>
        </w:numPr>
        <w:ind w:firstLineChars="0"/>
      </w:pPr>
      <w:r>
        <w:rPr>
          <w:rFonts w:hint="eastAsia"/>
        </w:rPr>
        <w:t>监控设备选型图片及相关参数。</w:t>
      </w:r>
    </w:p>
    <w:p>
      <w:pPr>
        <w:pStyle w:val="18"/>
        <w:numPr>
          <w:ilvl w:val="0"/>
          <w:numId w:val="16"/>
        </w:numPr>
        <w:ind w:firstLineChars="0"/>
      </w:pPr>
      <w:r>
        <w:rPr>
          <w:rFonts w:hint="eastAsia"/>
        </w:rPr>
        <w:t>音响点位布置平面图、系统图。</w:t>
      </w:r>
    </w:p>
    <w:p>
      <w:pPr>
        <w:pStyle w:val="6"/>
        <w:rPr>
          <w:sz w:val="22"/>
          <w:lang w:val="zh-CN"/>
        </w:rPr>
      </w:pPr>
      <w:r>
        <w:rPr>
          <w:rFonts w:hint="eastAsia"/>
          <w:sz w:val="22"/>
          <w:lang w:val="zh-CN"/>
        </w:rPr>
        <w:t>（</w:t>
      </w:r>
      <w:r>
        <w:rPr>
          <w:rFonts w:hint="eastAsia"/>
          <w:sz w:val="22"/>
        </w:rPr>
        <w:t>四</w:t>
      </w:r>
      <w:r>
        <w:rPr>
          <w:rFonts w:hint="eastAsia"/>
          <w:sz w:val="22"/>
          <w:lang w:val="zh-CN"/>
        </w:rPr>
        <w:t>）初步设计说明书</w:t>
      </w:r>
    </w:p>
    <w:p>
      <w:pPr>
        <w:ind w:firstLine="480" w:firstLineChars="200"/>
      </w:pPr>
      <w:r>
        <w:rPr>
          <w:rFonts w:hint="eastAsia"/>
        </w:rPr>
        <w:t>（1）对照方案设计最终成果文件中文字说明部分提出全面技术分析和技术处理措施。</w:t>
      </w:r>
    </w:p>
    <w:p>
      <w:pPr>
        <w:ind w:firstLine="480" w:firstLineChars="200"/>
      </w:pPr>
      <w:r>
        <w:rPr>
          <w:rFonts w:hint="eastAsia"/>
        </w:rPr>
        <w:t>（2）各专业设计配合关系中关键部位的控制要点。</w:t>
      </w:r>
    </w:p>
    <w:p>
      <w:pPr>
        <w:ind w:firstLine="480" w:firstLineChars="200"/>
      </w:pPr>
      <w:r>
        <w:rPr>
          <w:rFonts w:hint="eastAsia"/>
        </w:rPr>
        <w:t>（3）材料、设备、造型、色彩的选择原则、相关参数及图片示例。</w:t>
      </w:r>
    </w:p>
    <w:p>
      <w:pPr>
        <w:pStyle w:val="6"/>
        <w:rPr>
          <w:sz w:val="22"/>
        </w:rPr>
      </w:pPr>
      <w:r>
        <w:rPr>
          <w:rFonts w:hint="eastAsia"/>
          <w:sz w:val="22"/>
          <w:lang w:val="zh-CN"/>
        </w:rPr>
        <w:t>（</w:t>
      </w:r>
      <w:r>
        <w:rPr>
          <w:rFonts w:hint="eastAsia"/>
          <w:sz w:val="22"/>
        </w:rPr>
        <w:t>五</w:t>
      </w:r>
      <w:r>
        <w:rPr>
          <w:rFonts w:hint="eastAsia"/>
          <w:sz w:val="22"/>
          <w:lang w:val="zh-CN"/>
        </w:rPr>
        <w:t>）</w:t>
      </w:r>
      <w:bookmarkStart w:id="36" w:name="_Toc420831791"/>
      <w:r>
        <w:rPr>
          <w:rFonts w:hint="eastAsia"/>
          <w:sz w:val="22"/>
        </w:rPr>
        <w:t>提供项目工程量及概算。</w:t>
      </w:r>
    </w:p>
    <w:p>
      <w:pPr>
        <w:ind w:firstLine="480" w:firstLineChars="200"/>
      </w:pPr>
      <w:r>
        <w:rPr>
          <w:rFonts w:hint="eastAsia"/>
        </w:rPr>
        <w:t>（1）各园林植物种类、数量、面积；乔、灌、地被与草坪面积比例；常绿与落叶植物种植数量比例。</w:t>
      </w:r>
    </w:p>
    <w:p>
      <w:pPr>
        <w:ind w:firstLine="480" w:firstLineChars="200"/>
      </w:pPr>
      <w:r>
        <w:rPr>
          <w:rFonts w:hint="eastAsia"/>
        </w:rPr>
        <w:t>（2）平整地面、堆山、挖填方数量。</w:t>
      </w:r>
    </w:p>
    <w:p>
      <w:pPr>
        <w:ind w:firstLine="480" w:firstLineChars="200"/>
      </w:pPr>
      <w:r>
        <w:rPr>
          <w:rFonts w:hint="eastAsia"/>
        </w:rPr>
        <w:t>（3）功能节点、道路、铺装面积。</w:t>
      </w:r>
    </w:p>
    <w:p>
      <w:pPr>
        <w:ind w:firstLine="480" w:firstLineChars="200"/>
      </w:pPr>
      <w:r>
        <w:rPr>
          <w:rFonts w:hint="eastAsia"/>
          <w:lang w:val="zh-CN"/>
        </w:rPr>
        <w:t>（</w:t>
      </w:r>
      <w:r>
        <w:rPr>
          <w:rFonts w:hint="eastAsia"/>
        </w:rPr>
        <w:t>4</w:t>
      </w:r>
      <w:r>
        <w:rPr>
          <w:rFonts w:hint="eastAsia"/>
          <w:lang w:val="zh-CN"/>
        </w:rPr>
        <w:t>）</w:t>
      </w:r>
      <w:r>
        <w:rPr>
          <w:rFonts w:hint="eastAsia"/>
        </w:rPr>
        <w:t>各类构筑物：精神堡垒、廊架、小区入口大门、保安亭、泳池配套房等工程量。</w:t>
      </w:r>
    </w:p>
    <w:p>
      <w:pPr>
        <w:ind w:firstLine="480" w:firstLineChars="200"/>
      </w:pPr>
      <w:r>
        <w:rPr>
          <w:rFonts w:hint="eastAsia"/>
        </w:rPr>
        <w:t>（5）各类专项围墙、标识牌、地下车库出入口顶棚、</w:t>
      </w:r>
      <w:r>
        <w:rPr>
          <w:rFonts w:hint="eastAsia" w:ascii="宋体" w:hAnsi="宋体"/>
        </w:rPr>
        <w:t>地下车库人行出入口顶棚、</w:t>
      </w:r>
      <w:r>
        <w:rPr>
          <w:rFonts w:hint="eastAsia"/>
        </w:rPr>
        <w:t>小品、雕塑的规格及数量。</w:t>
      </w:r>
    </w:p>
    <w:p>
      <w:pPr>
        <w:ind w:firstLine="480" w:firstLineChars="200"/>
      </w:pPr>
      <w:r>
        <w:rPr>
          <w:rFonts w:hint="eastAsia"/>
        </w:rPr>
        <w:t>（6）灯具、室外家具等设备规格、参数和具体数量。</w:t>
      </w:r>
    </w:p>
    <w:p>
      <w:pPr>
        <w:ind w:firstLine="480" w:firstLineChars="200"/>
      </w:pPr>
      <w:r>
        <w:rPr>
          <w:rFonts w:hint="eastAsia"/>
        </w:rPr>
        <w:t>（7）提供项目概算金额。</w:t>
      </w:r>
    </w:p>
    <w:p>
      <w:pPr>
        <w:ind w:firstLine="480" w:firstLineChars="200"/>
      </w:pPr>
      <w:r>
        <w:rPr>
          <w:rFonts w:hint="eastAsia"/>
        </w:rPr>
        <w:t>（8）工程量、概算与图纸内容分册装订。</w:t>
      </w:r>
    </w:p>
    <w:p/>
    <w:p>
      <w:pPr>
        <w:pStyle w:val="5"/>
        <w:rPr>
          <w:lang w:val="en-US"/>
        </w:rPr>
      </w:pPr>
      <w:r>
        <w:rPr>
          <w:rFonts w:hint="eastAsia"/>
          <w:lang w:val="en-US"/>
        </w:rPr>
        <w:t>5.3</w:t>
      </w:r>
      <w:r>
        <w:rPr>
          <w:rFonts w:hint="eastAsia"/>
        </w:rPr>
        <w:t>计算机文件要求</w:t>
      </w:r>
      <w:bookmarkEnd w:id="36"/>
    </w:p>
    <w:p>
      <w:pPr>
        <w:ind w:firstLine="480" w:firstLineChars="200"/>
      </w:pPr>
      <w:r>
        <w:rPr>
          <w:rFonts w:hint="eastAsia"/>
        </w:rPr>
        <w:t>1、计算机文件：文字内容采用Microsoft word格式文件。</w:t>
      </w:r>
    </w:p>
    <w:p>
      <w:pPr>
        <w:ind w:firstLine="480" w:firstLineChars="200"/>
      </w:pPr>
      <w:r>
        <w:rPr>
          <w:rFonts w:hint="eastAsia"/>
        </w:rPr>
        <w:t>2、设计图形文件采用AutoCAD格式文件。</w:t>
      </w:r>
    </w:p>
    <w:p>
      <w:pPr>
        <w:ind w:firstLine="480" w:firstLineChars="200"/>
      </w:pPr>
      <w:r>
        <w:rPr>
          <w:rFonts w:hint="eastAsia"/>
        </w:rPr>
        <w:t>3、表现图、渲染图采用JPG或TIF格式，手绘图、手绘建筑画扫描成JPG格式的计算机图形文件。</w:t>
      </w:r>
    </w:p>
    <w:p>
      <w:pPr>
        <w:ind w:firstLine="480" w:firstLineChars="200"/>
      </w:pPr>
      <w:r>
        <w:rPr>
          <w:rFonts w:hint="eastAsia"/>
        </w:rPr>
        <w:t>5、如果有全方位表达空间的演示动画，可用较为普及的多媒体软件播放；可以附送说明设计方案的多媒体、幻灯片等资料。</w:t>
      </w:r>
    </w:p>
    <w:p>
      <w:pPr>
        <w:ind w:firstLine="480" w:firstLineChars="200"/>
      </w:pPr>
      <w:r>
        <w:rPr>
          <w:rFonts w:hint="eastAsia"/>
        </w:rPr>
        <w:t>6、方案阶段：设计文件（含设计估算书）A3 彩色文本10套，电子光盘3套；多媒体文件：不多于3分钟的多媒体展示文件，其中场景漫游不少于2分钟。</w:t>
      </w:r>
    </w:p>
    <w:p>
      <w:pPr>
        <w:ind w:firstLine="480" w:firstLineChars="200"/>
      </w:pPr>
      <w:r>
        <w:rPr>
          <w:rFonts w:hint="eastAsia"/>
        </w:rPr>
        <w:t>初步设计阶段：设计文本（含设计概算书）10套，电子光盘3套。</w:t>
      </w:r>
    </w:p>
    <w:p>
      <w:pPr>
        <w:ind w:firstLine="480" w:firstLineChars="200"/>
        <w:rPr>
          <w:rFonts w:ascii="宋体" w:hAnsi="宋体"/>
        </w:rPr>
      </w:pPr>
    </w:p>
    <w:p>
      <w:pPr>
        <w:pStyle w:val="3"/>
        <w:rPr>
          <w:rFonts w:ascii="宋体" w:hAnsi="宋体"/>
          <w:color w:val="000000"/>
        </w:rPr>
      </w:pPr>
      <w:bookmarkStart w:id="37" w:name="_Toc16302"/>
      <w:r>
        <w:rPr>
          <w:rFonts w:hint="eastAsia"/>
        </w:rPr>
        <w:t>六</w:t>
      </w:r>
      <w:r>
        <w:t>、</w:t>
      </w:r>
      <w:r>
        <w:rPr>
          <w:rFonts w:hint="eastAsia"/>
        </w:rPr>
        <w:t>提交时间</w:t>
      </w:r>
      <w:bookmarkEnd w:id="37"/>
    </w:p>
    <w:p>
      <w:pPr>
        <w:tabs>
          <w:tab w:val="left" w:pos="142"/>
        </w:tabs>
        <w:adjustRightInd w:val="0"/>
        <w:snapToGrid w:val="0"/>
        <w:spacing w:line="240" w:lineRule="atLeast"/>
        <w:rPr>
          <w:rFonts w:ascii="宋体" w:hAnsi="宋体"/>
          <w:bCs/>
          <w:color w:val="000000"/>
          <w:spacing w:val="10"/>
          <w:highlight w:val="cya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776"/>
        <w:gridCol w:w="2207"/>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522" w:type="dxa"/>
            <w:gridSpan w:val="4"/>
            <w:vAlign w:val="center"/>
          </w:tcPr>
          <w:p>
            <w:pPr>
              <w:jc w:val="center"/>
              <w:rPr>
                <w:rFonts w:ascii="宋体" w:hAnsi="宋体"/>
              </w:rPr>
            </w:pPr>
            <w:r>
              <w:rPr>
                <w:rFonts w:hint="eastAsia" w:ascii="宋体" w:hAnsi="宋体"/>
                <w:b/>
                <w:bCs/>
                <w:sz w:val="28"/>
                <w:szCs w:val="28"/>
              </w:rPr>
              <w:t>出图时间安排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gridSpan w:val="2"/>
            <w:vAlign w:val="center"/>
          </w:tcPr>
          <w:p>
            <w:pPr>
              <w:jc w:val="center"/>
              <w:rPr>
                <w:rFonts w:ascii="宋体" w:hAnsi="宋体"/>
              </w:rPr>
            </w:pPr>
            <w:r>
              <w:rPr>
                <w:rFonts w:hint="eastAsia" w:ascii="宋体" w:hAnsi="宋体"/>
              </w:rPr>
              <w:t>设计范围</w:t>
            </w:r>
          </w:p>
        </w:tc>
        <w:tc>
          <w:tcPr>
            <w:tcW w:w="2207" w:type="dxa"/>
            <w:vAlign w:val="center"/>
          </w:tcPr>
          <w:p>
            <w:pPr>
              <w:jc w:val="center"/>
              <w:rPr>
                <w:rFonts w:ascii="宋体" w:hAnsi="宋体"/>
              </w:rPr>
            </w:pPr>
            <w:r>
              <w:rPr>
                <w:rFonts w:hint="eastAsia" w:ascii="宋体" w:hAnsi="宋体"/>
              </w:rPr>
              <w:t>方案设计成果（天）</w:t>
            </w:r>
          </w:p>
        </w:tc>
        <w:tc>
          <w:tcPr>
            <w:tcW w:w="2959" w:type="dxa"/>
            <w:vAlign w:val="center"/>
          </w:tcPr>
          <w:p>
            <w:pPr>
              <w:jc w:val="center"/>
              <w:rPr>
                <w:rFonts w:ascii="宋体" w:hAnsi="宋体"/>
              </w:rPr>
            </w:pPr>
            <w:r>
              <w:rPr>
                <w:rFonts w:hint="eastAsia" w:ascii="宋体" w:hAnsi="宋体"/>
              </w:rPr>
              <w:t>扩初设计成果（天）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Merge w:val="restart"/>
            <w:vAlign w:val="center"/>
          </w:tcPr>
          <w:p>
            <w:pPr>
              <w:jc w:val="center"/>
              <w:rPr>
                <w:rFonts w:ascii="宋体" w:hAnsi="宋体"/>
              </w:rPr>
            </w:pPr>
            <w:r>
              <w:rPr>
                <w:rFonts w:hint="eastAsia" w:ascii="宋体" w:hAnsi="宋体"/>
              </w:rPr>
              <w:t>桂湾府地块</w:t>
            </w:r>
          </w:p>
        </w:tc>
        <w:tc>
          <w:tcPr>
            <w:tcW w:w="1776" w:type="dxa"/>
            <w:vAlign w:val="center"/>
          </w:tcPr>
          <w:p>
            <w:pPr>
              <w:jc w:val="center"/>
              <w:rPr>
                <w:rFonts w:ascii="宋体" w:hAnsi="宋体"/>
              </w:rPr>
            </w:pPr>
            <w:r>
              <w:rPr>
                <w:rFonts w:hint="eastAsia" w:ascii="宋体" w:hAnsi="宋体"/>
              </w:rPr>
              <w:t>示范区</w:t>
            </w:r>
          </w:p>
        </w:tc>
        <w:tc>
          <w:tcPr>
            <w:tcW w:w="2207" w:type="dxa"/>
            <w:vAlign w:val="center"/>
          </w:tcPr>
          <w:p>
            <w:pPr>
              <w:jc w:val="center"/>
              <w:rPr>
                <w:rFonts w:ascii="宋体" w:hAnsi="宋体"/>
              </w:rPr>
            </w:pPr>
            <w:r>
              <w:rPr>
                <w:rFonts w:hint="eastAsia" w:ascii="宋体" w:hAnsi="宋体"/>
              </w:rPr>
              <w:t>30</w:t>
            </w:r>
          </w:p>
        </w:tc>
        <w:tc>
          <w:tcPr>
            <w:tcW w:w="2959" w:type="dxa"/>
            <w:vAlign w:val="center"/>
          </w:tcPr>
          <w:p>
            <w:pPr>
              <w:jc w:val="center"/>
              <w:rPr>
                <w:rFonts w:ascii="宋体" w:hAnsi="宋体"/>
              </w:rPr>
            </w:pPr>
            <w:r>
              <w:rPr>
                <w:rFonts w:hint="eastAsia" w:ascii="宋体" w:hAnsi="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Merge w:val="continue"/>
            <w:vAlign w:val="center"/>
          </w:tcPr>
          <w:p>
            <w:pPr>
              <w:jc w:val="center"/>
              <w:rPr>
                <w:rFonts w:ascii="宋体" w:hAnsi="宋体"/>
              </w:rPr>
            </w:pPr>
          </w:p>
        </w:tc>
        <w:tc>
          <w:tcPr>
            <w:tcW w:w="1776" w:type="dxa"/>
            <w:vAlign w:val="center"/>
          </w:tcPr>
          <w:p>
            <w:pPr>
              <w:jc w:val="center"/>
              <w:rPr>
                <w:rFonts w:ascii="宋体" w:hAnsi="宋体"/>
              </w:rPr>
            </w:pPr>
            <w:r>
              <w:rPr>
                <w:rFonts w:hint="eastAsia" w:ascii="宋体" w:hAnsi="宋体"/>
              </w:rPr>
              <w:t>桂湾府大区</w:t>
            </w:r>
          </w:p>
        </w:tc>
        <w:tc>
          <w:tcPr>
            <w:tcW w:w="2207" w:type="dxa"/>
            <w:vAlign w:val="center"/>
          </w:tcPr>
          <w:p>
            <w:pPr>
              <w:jc w:val="center"/>
              <w:rPr>
                <w:rFonts w:ascii="宋体" w:hAnsi="宋体"/>
              </w:rPr>
            </w:pPr>
            <w:r>
              <w:rPr>
                <w:rFonts w:hint="eastAsia" w:ascii="宋体" w:hAnsi="宋体"/>
              </w:rPr>
              <w:t>45</w:t>
            </w:r>
          </w:p>
        </w:tc>
        <w:tc>
          <w:tcPr>
            <w:tcW w:w="2959" w:type="dxa"/>
            <w:vAlign w:val="center"/>
          </w:tcPr>
          <w:p>
            <w:pPr>
              <w:jc w:val="center"/>
              <w:rPr>
                <w:rFonts w:ascii="宋体" w:hAnsi="宋体"/>
              </w:rPr>
            </w:pPr>
            <w:r>
              <w:rPr>
                <w:rFonts w:hint="eastAsia" w:ascii="宋体" w:hAnsi="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pPr>
              <w:jc w:val="center"/>
              <w:rPr>
                <w:rFonts w:ascii="宋体" w:hAnsi="宋体"/>
              </w:rPr>
            </w:pPr>
            <w:r>
              <w:rPr>
                <w:rFonts w:hint="eastAsia" w:ascii="宋体" w:hAnsi="宋体"/>
              </w:rPr>
              <w:t>前湾府地块</w:t>
            </w:r>
          </w:p>
        </w:tc>
        <w:tc>
          <w:tcPr>
            <w:tcW w:w="1776" w:type="dxa"/>
            <w:vAlign w:val="center"/>
          </w:tcPr>
          <w:p>
            <w:pPr>
              <w:jc w:val="center"/>
              <w:rPr>
                <w:rFonts w:ascii="宋体" w:hAnsi="宋体"/>
              </w:rPr>
            </w:pPr>
            <w:r>
              <w:rPr>
                <w:rFonts w:hint="eastAsia" w:ascii="宋体" w:hAnsi="宋体"/>
              </w:rPr>
              <w:t>前湾府大区</w:t>
            </w:r>
          </w:p>
        </w:tc>
        <w:tc>
          <w:tcPr>
            <w:tcW w:w="2207" w:type="dxa"/>
            <w:vAlign w:val="center"/>
          </w:tcPr>
          <w:p>
            <w:pPr>
              <w:jc w:val="center"/>
              <w:rPr>
                <w:rFonts w:ascii="宋体" w:hAnsi="宋体"/>
              </w:rPr>
            </w:pPr>
            <w:r>
              <w:rPr>
                <w:rFonts w:hint="eastAsia" w:ascii="宋体" w:hAnsi="宋体"/>
              </w:rPr>
              <w:t>45</w:t>
            </w:r>
          </w:p>
        </w:tc>
        <w:tc>
          <w:tcPr>
            <w:tcW w:w="2959" w:type="dxa"/>
            <w:vAlign w:val="center"/>
          </w:tcPr>
          <w:p>
            <w:pPr>
              <w:jc w:val="center"/>
              <w:rPr>
                <w:rFonts w:ascii="宋体" w:hAnsi="宋体"/>
              </w:rPr>
            </w:pPr>
            <w:r>
              <w:rPr>
                <w:rFonts w:hint="eastAsia" w:ascii="宋体" w:hAnsi="宋体"/>
              </w:rPr>
              <w:t>30</w:t>
            </w:r>
          </w:p>
        </w:tc>
      </w:tr>
    </w:tbl>
    <w:p>
      <w:pPr>
        <w:rPr>
          <w:rFonts w:ascii="宋体" w:hAnsi="宋体"/>
          <w:bCs/>
          <w:color w:val="000000"/>
          <w:spacing w:val="10"/>
        </w:rPr>
      </w:pPr>
    </w:p>
    <w:p/>
    <w:p/>
    <w:p>
      <w:pPr>
        <w:pStyle w:val="3"/>
      </w:pPr>
      <w:bookmarkStart w:id="38" w:name="_Toc22301"/>
      <w:r>
        <w:rPr>
          <w:rFonts w:hint="eastAsia"/>
        </w:rPr>
        <w:t>七</w:t>
      </w:r>
      <w:r>
        <w:t>、</w:t>
      </w:r>
      <w:r>
        <w:rPr>
          <w:rFonts w:hint="eastAsia"/>
        </w:rPr>
        <w:t>服务内容</w:t>
      </w:r>
      <w:bookmarkEnd w:id="38"/>
    </w:p>
    <w:p>
      <w:r>
        <w:rPr>
          <w:rFonts w:hint="eastAsia"/>
        </w:rPr>
        <w:t>服务内容包括但不限于以下内容：</w:t>
      </w:r>
    </w:p>
    <w:p>
      <w:pPr>
        <w:numPr>
          <w:ilvl w:val="0"/>
          <w:numId w:val="17"/>
        </w:numPr>
      </w:pPr>
      <w:r>
        <w:rPr>
          <w:rFonts w:hint="eastAsia"/>
        </w:rPr>
        <w:t>设计团队成员赴现场进行基地踏勘，了解基地地形、地貌、植被及水文现状，以明确周边环境及空间条件；并与发包人和建筑师进行启动工作协调会；</w:t>
      </w:r>
    </w:p>
    <w:p>
      <w:pPr>
        <w:numPr>
          <w:ilvl w:val="0"/>
          <w:numId w:val="17"/>
        </w:numPr>
      </w:pPr>
      <w:r>
        <w:rPr>
          <w:rFonts w:hint="eastAsia"/>
        </w:rPr>
        <w:t>参与由发包人及建筑师主持的建筑设计协调会，确保景观设计与建筑设计的协调性。</w:t>
      </w:r>
    </w:p>
    <w:p>
      <w:pPr>
        <w:numPr>
          <w:ilvl w:val="0"/>
          <w:numId w:val="17"/>
        </w:numPr>
      </w:pPr>
      <w:r>
        <w:rPr>
          <w:rFonts w:hint="eastAsia"/>
        </w:rPr>
        <w:t>收集及整理有关图片及相关数据、材料，向发包人提交设计前研究成果，以便确立设计方向；</w:t>
      </w:r>
    </w:p>
    <w:p>
      <w:pPr>
        <w:numPr>
          <w:ilvl w:val="0"/>
          <w:numId w:val="17"/>
        </w:numPr>
      </w:pPr>
      <w:r>
        <w:rPr>
          <w:rFonts w:hint="eastAsia"/>
        </w:rPr>
        <w:t>桂湾府地块（包括示范区）、前湾府地块的室外景观方案设计、初步设计；</w:t>
      </w:r>
    </w:p>
    <w:p>
      <w:pPr>
        <w:numPr>
          <w:ilvl w:val="0"/>
          <w:numId w:val="17"/>
        </w:numPr>
      </w:pPr>
      <w:r>
        <w:rPr>
          <w:rFonts w:hint="eastAsia"/>
        </w:rPr>
        <w:t>本项目及周边范围的景观总体统筹考虑（后续工作内容为各阶段的设计提资、配合及协调）；</w:t>
      </w:r>
    </w:p>
    <w:p>
      <w:pPr>
        <w:numPr>
          <w:ilvl w:val="0"/>
          <w:numId w:val="17"/>
        </w:numPr>
      </w:pPr>
      <w:r>
        <w:rPr>
          <w:rFonts w:hint="eastAsia"/>
        </w:rPr>
        <w:t>参加项目的设计例会，项目各阶段成果汇报（公司内部、政府部门等）必须项目负责人或主创设计师到场汇报；</w:t>
      </w:r>
    </w:p>
    <w:p>
      <w:pPr>
        <w:numPr>
          <w:ilvl w:val="0"/>
          <w:numId w:val="17"/>
        </w:numPr>
      </w:pPr>
      <w:r>
        <w:rPr>
          <w:rFonts w:hint="eastAsia"/>
        </w:rPr>
        <w:t>收集建筑及工程相关信息，并共同讨论相关之景观设施（包括精神堡垒等）元素材料使用；配合后期实施方案落实，把控效果呈现；</w:t>
      </w:r>
    </w:p>
    <w:p>
      <w:pPr>
        <w:numPr>
          <w:ilvl w:val="0"/>
          <w:numId w:val="17"/>
        </w:numPr>
      </w:pPr>
      <w:r>
        <w:rPr>
          <w:rFonts w:hint="eastAsia"/>
        </w:rPr>
        <w:t>与建筑、园建、植物、给排水、电气照明、弱电、景观结构、专项二次设计厂家等相关专业、单位有关方案落实中效果呈现、技术交叉问题的协调，以确保工程的落实；</w:t>
      </w:r>
    </w:p>
    <w:p>
      <w:pPr>
        <w:numPr>
          <w:ilvl w:val="0"/>
          <w:numId w:val="17"/>
        </w:numPr>
      </w:pPr>
      <w:r>
        <w:rPr>
          <w:rFonts w:hint="eastAsia"/>
        </w:rPr>
        <w:t>对施工图图纸审查，提出相关的技术问题，确保前期方案及各细节的落地性。</w:t>
      </w:r>
    </w:p>
    <w:p>
      <w:pPr>
        <w:numPr>
          <w:ilvl w:val="0"/>
          <w:numId w:val="17"/>
        </w:numPr>
      </w:pPr>
      <w:r>
        <w:rPr>
          <w:rFonts w:hint="eastAsia"/>
        </w:rPr>
        <w:t>与项目各顾问单位之间的协调工作；</w:t>
      </w:r>
    </w:p>
    <w:p>
      <w:pPr>
        <w:numPr>
          <w:ilvl w:val="0"/>
          <w:numId w:val="17"/>
        </w:numPr>
      </w:pPr>
      <w:r>
        <w:rPr>
          <w:rFonts w:hint="eastAsia"/>
        </w:rPr>
        <w:t>植物施工图设计期间组织考察莞深周边苗圃，以确保绿化设计的落地可行；</w:t>
      </w:r>
    </w:p>
    <w:p>
      <w:pPr>
        <w:numPr>
          <w:ilvl w:val="0"/>
          <w:numId w:val="17"/>
        </w:numPr>
      </w:pPr>
      <w:r>
        <w:rPr>
          <w:rFonts w:hint="eastAsia"/>
        </w:rPr>
        <w:t>协助发包人编制软、硬景施工进度安排；</w:t>
      </w:r>
    </w:p>
    <w:p>
      <w:pPr>
        <w:numPr>
          <w:ilvl w:val="0"/>
          <w:numId w:val="17"/>
        </w:numPr>
      </w:pPr>
      <w:r>
        <w:rPr>
          <w:rFonts w:hint="eastAsia"/>
        </w:rPr>
        <w:t>提供（彩色）景观效果控制手册，以便施工方能更好地贯彻设计意图；</w:t>
      </w:r>
    </w:p>
    <w:p>
      <w:pPr>
        <w:numPr>
          <w:ilvl w:val="0"/>
          <w:numId w:val="17"/>
        </w:numPr>
      </w:pPr>
      <w:r>
        <w:rPr>
          <w:rFonts w:hint="eastAsia"/>
        </w:rPr>
        <w:t>出席设计交底会议；</w:t>
      </w:r>
    </w:p>
    <w:p>
      <w:pPr>
        <w:numPr>
          <w:ilvl w:val="0"/>
          <w:numId w:val="17"/>
        </w:numPr>
      </w:pPr>
      <w:r>
        <w:rPr>
          <w:rFonts w:hint="eastAsia"/>
        </w:rPr>
        <w:t>在工程定标以后、施工前与发包人、施工方一起考察莞深周边苗圃，以监管施工承包商预备苗木的品质及效果；</w:t>
      </w:r>
    </w:p>
    <w:p>
      <w:pPr>
        <w:numPr>
          <w:ilvl w:val="0"/>
          <w:numId w:val="17"/>
        </w:numPr>
      </w:pPr>
      <w:r>
        <w:rPr>
          <w:rFonts w:hint="eastAsia"/>
        </w:rPr>
        <w:t>项目施工期间进行现场施工视察（视察次数视项目进展要求）出席施工视察会议；</w:t>
      </w:r>
    </w:p>
    <w:p>
      <w:pPr>
        <w:numPr>
          <w:ilvl w:val="0"/>
          <w:numId w:val="17"/>
        </w:numPr>
      </w:pPr>
      <w:r>
        <w:rPr>
          <w:rFonts w:hint="eastAsia"/>
        </w:rPr>
        <w:t>合同履约期间根据工作进展要求，安排一名工作经验 3 年以上的景观专业乙方人员驻场办公；</w:t>
      </w:r>
    </w:p>
    <w:p>
      <w:pPr>
        <w:numPr>
          <w:ilvl w:val="0"/>
          <w:numId w:val="17"/>
        </w:numPr>
      </w:pPr>
      <w:r>
        <w:rPr>
          <w:rFonts w:hint="eastAsia"/>
        </w:rPr>
        <w:t>协调苗木空间位置，监督树木的种类及种植土堆填工程；</w:t>
      </w:r>
    </w:p>
    <w:p>
      <w:pPr>
        <w:numPr>
          <w:ilvl w:val="0"/>
          <w:numId w:val="17"/>
        </w:numPr>
      </w:pPr>
      <w:r>
        <w:rPr>
          <w:rFonts w:hint="eastAsia"/>
        </w:rPr>
        <w:t>协助发包人进行现场施工验收，提交施工验收书面意见；</w:t>
      </w:r>
    </w:p>
    <w:p>
      <w:pPr>
        <w:numPr>
          <w:ilvl w:val="0"/>
          <w:numId w:val="17"/>
        </w:numPr>
      </w:pPr>
      <w:r>
        <w:rPr>
          <w:rFonts w:hint="eastAsia"/>
        </w:rPr>
        <w:t>提供施工招标所需的工程量和工程说明、相应的招标图纸和工程数量、材料用量表并配合发包人或发包人总包/代建方开展施工招标工作；</w:t>
      </w:r>
    </w:p>
    <w:p>
      <w:pPr>
        <w:numPr>
          <w:ilvl w:val="0"/>
          <w:numId w:val="17"/>
        </w:numPr>
      </w:pPr>
      <w:r>
        <w:rPr>
          <w:rFonts w:hint="eastAsia"/>
        </w:rPr>
        <w:t>负责组织相关专业设计（水、电、燃气等管线），协助发包人向有关公共事业管理部门办理审批手续等工作，完成供水、供电、供气、通讯等的报批；</w:t>
      </w:r>
    </w:p>
    <w:p>
      <w:pPr>
        <w:numPr>
          <w:ilvl w:val="0"/>
          <w:numId w:val="17"/>
        </w:numPr>
      </w:pPr>
      <w:r>
        <w:rPr>
          <w:rFonts w:hint="eastAsia"/>
        </w:rPr>
        <w:t>与相关政府部门以及公共事业管理部门或企业就本项目审查、审批、审计、备案和专业咨询等工作进行联系和协调，提供其所需的图纸资料，并自行承担所发生的费用；</w:t>
      </w:r>
    </w:p>
    <w:p>
      <w:pPr>
        <w:numPr>
          <w:ilvl w:val="0"/>
          <w:numId w:val="17"/>
        </w:numPr>
      </w:pPr>
      <w:r>
        <w:rPr>
          <w:rFonts w:hint="eastAsia"/>
        </w:rPr>
        <w:t>承办各阶段设计成果评审会，并自行承担所发生的费用；</w:t>
      </w:r>
    </w:p>
    <w:p>
      <w:pPr>
        <w:numPr>
          <w:ilvl w:val="0"/>
          <w:numId w:val="17"/>
        </w:numPr>
      </w:pPr>
      <w:r>
        <w:rPr>
          <w:rFonts w:hint="eastAsia"/>
        </w:rPr>
        <w:t>按相关政府部门要求，提供完整申办资料并办理与设计有关的各类规划许可、报建和备案，协助办理规划用地手续；</w:t>
      </w:r>
    </w:p>
    <w:p>
      <w:pPr>
        <w:numPr>
          <w:ilvl w:val="0"/>
          <w:numId w:val="17"/>
        </w:numPr>
      </w:pPr>
      <w:r>
        <w:rPr>
          <w:rFonts w:hint="eastAsia"/>
        </w:rPr>
        <w:t>协助配合环境影响评价、防洪影响评价（如需）、地质灾害危险性评估（如需）、水土保持方案设计，对所提供的基础技术文件负责，并依据相关部门审批意见落实环评、防洪（如需）、防灾（如需）及水保工程技术措施；</w:t>
      </w:r>
    </w:p>
    <w:p>
      <w:pPr>
        <w:numPr>
          <w:ilvl w:val="0"/>
          <w:numId w:val="17"/>
        </w:numPr>
      </w:pPr>
      <w:r>
        <w:rPr>
          <w:rFonts w:hint="eastAsia"/>
        </w:rPr>
        <w:t>自行收集、购买与本工程设计有关的第三方资料，以发包人名义刊登地下管线调查等各类通（公）告，并自行承担所发生的费用；</w:t>
      </w:r>
    </w:p>
    <w:p>
      <w:pPr>
        <w:numPr>
          <w:ilvl w:val="0"/>
          <w:numId w:val="17"/>
        </w:numPr>
      </w:pPr>
      <w:r>
        <w:rPr>
          <w:rFonts w:hint="eastAsia"/>
        </w:rPr>
        <w:t>其他需开展工作、报建、报审、招标配合工作、项目顾问及后期施工配合服务 。</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21</w:t>
    </w:r>
    <w:r>
      <w:rPr>
        <w:rStyle w:val="17"/>
      </w:rPr>
      <w:fldChar w:fldCharType="end"/>
    </w:r>
  </w:p>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1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8000E"/>
    <w:multiLevelType w:val="singleLevel"/>
    <w:tmpl w:val="86F8000E"/>
    <w:lvl w:ilvl="0" w:tentative="0">
      <w:start w:val="1"/>
      <w:numFmt w:val="decimal"/>
      <w:suff w:val="nothing"/>
      <w:lvlText w:val="（%1）"/>
      <w:lvlJc w:val="left"/>
      <w:pPr>
        <w:ind w:left="60"/>
      </w:pPr>
    </w:lvl>
  </w:abstractNum>
  <w:abstractNum w:abstractNumId="1">
    <w:nsid w:val="8CC33E08"/>
    <w:multiLevelType w:val="singleLevel"/>
    <w:tmpl w:val="8CC33E08"/>
    <w:lvl w:ilvl="0" w:tentative="0">
      <w:start w:val="1"/>
      <w:numFmt w:val="decimal"/>
      <w:lvlText w:val="%1."/>
      <w:lvlJc w:val="left"/>
      <w:pPr>
        <w:tabs>
          <w:tab w:val="left" w:pos="312"/>
        </w:tabs>
      </w:pPr>
    </w:lvl>
  </w:abstractNum>
  <w:abstractNum w:abstractNumId="2">
    <w:nsid w:val="A9619166"/>
    <w:multiLevelType w:val="singleLevel"/>
    <w:tmpl w:val="A9619166"/>
    <w:lvl w:ilvl="0" w:tentative="0">
      <w:start w:val="1"/>
      <w:numFmt w:val="decimal"/>
      <w:suff w:val="nothing"/>
      <w:lvlText w:val="（%1）"/>
      <w:lvlJc w:val="left"/>
    </w:lvl>
  </w:abstractNum>
  <w:abstractNum w:abstractNumId="3">
    <w:nsid w:val="E0CD4BD9"/>
    <w:multiLevelType w:val="singleLevel"/>
    <w:tmpl w:val="E0CD4BD9"/>
    <w:lvl w:ilvl="0" w:tentative="0">
      <w:start w:val="2"/>
      <w:numFmt w:val="decimal"/>
      <w:suff w:val="space"/>
      <w:lvlText w:val="%1."/>
      <w:lvlJc w:val="left"/>
    </w:lvl>
  </w:abstractNum>
  <w:abstractNum w:abstractNumId="4">
    <w:nsid w:val="FA3FCB9A"/>
    <w:multiLevelType w:val="singleLevel"/>
    <w:tmpl w:val="FA3FCB9A"/>
    <w:lvl w:ilvl="0" w:tentative="0">
      <w:start w:val="4"/>
      <w:numFmt w:val="decimal"/>
      <w:suff w:val="space"/>
      <w:lvlText w:val="%1."/>
      <w:lvlJc w:val="left"/>
    </w:lvl>
  </w:abstractNum>
  <w:abstractNum w:abstractNumId="5">
    <w:nsid w:val="06371733"/>
    <w:multiLevelType w:val="multilevel"/>
    <w:tmpl w:val="0637173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460DC90"/>
    <w:multiLevelType w:val="singleLevel"/>
    <w:tmpl w:val="1460DC90"/>
    <w:lvl w:ilvl="0" w:tentative="0">
      <w:start w:val="1"/>
      <w:numFmt w:val="decimal"/>
      <w:suff w:val="nothing"/>
      <w:lvlText w:val="%1、"/>
      <w:lvlJc w:val="left"/>
      <w:rPr>
        <w:rFonts w:hint="default"/>
        <w:strike w:val="0"/>
        <w:dstrike w:val="0"/>
      </w:rPr>
    </w:lvl>
  </w:abstractNum>
  <w:abstractNum w:abstractNumId="7">
    <w:nsid w:val="2D6B2162"/>
    <w:multiLevelType w:val="multilevel"/>
    <w:tmpl w:val="2D6B2162"/>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0002411"/>
    <w:multiLevelType w:val="multilevel"/>
    <w:tmpl w:val="30002411"/>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2F21A70"/>
    <w:multiLevelType w:val="multilevel"/>
    <w:tmpl w:val="32F21A70"/>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A876991"/>
    <w:multiLevelType w:val="multilevel"/>
    <w:tmpl w:val="4A876991"/>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34A79DA"/>
    <w:multiLevelType w:val="singleLevel"/>
    <w:tmpl w:val="534A79DA"/>
    <w:lvl w:ilvl="0" w:tentative="0">
      <w:start w:val="4"/>
      <w:numFmt w:val="decimal"/>
      <w:suff w:val="space"/>
      <w:lvlText w:val="%1."/>
      <w:lvlJc w:val="left"/>
    </w:lvl>
  </w:abstractNum>
  <w:abstractNum w:abstractNumId="12">
    <w:nsid w:val="5D510A74"/>
    <w:multiLevelType w:val="singleLevel"/>
    <w:tmpl w:val="5D510A74"/>
    <w:lvl w:ilvl="0" w:tentative="0">
      <w:start w:val="2"/>
      <w:numFmt w:val="decimal"/>
      <w:suff w:val="space"/>
      <w:lvlText w:val="%1."/>
      <w:lvlJc w:val="left"/>
    </w:lvl>
  </w:abstractNum>
  <w:abstractNum w:abstractNumId="13">
    <w:nsid w:val="6AD41B2A"/>
    <w:multiLevelType w:val="multilevel"/>
    <w:tmpl w:val="6AD41B2A"/>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38D3FDD"/>
    <w:multiLevelType w:val="multilevel"/>
    <w:tmpl w:val="738D3FDD"/>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D3403F9"/>
    <w:multiLevelType w:val="multilevel"/>
    <w:tmpl w:val="7D3403F9"/>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E473A72"/>
    <w:multiLevelType w:val="multilevel"/>
    <w:tmpl w:val="7E473A72"/>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16"/>
  </w:num>
  <w:num w:numId="3">
    <w:abstractNumId w:val="11"/>
  </w:num>
  <w:num w:numId="4">
    <w:abstractNumId w:val="8"/>
  </w:num>
  <w:num w:numId="5">
    <w:abstractNumId w:val="4"/>
  </w:num>
  <w:num w:numId="6">
    <w:abstractNumId w:val="2"/>
  </w:num>
  <w:num w:numId="7">
    <w:abstractNumId w:val="10"/>
  </w:num>
  <w:num w:numId="8">
    <w:abstractNumId w:val="12"/>
  </w:num>
  <w:num w:numId="9">
    <w:abstractNumId w:val="14"/>
  </w:num>
  <w:num w:numId="10">
    <w:abstractNumId w:val="9"/>
  </w:num>
  <w:num w:numId="11">
    <w:abstractNumId w:val="7"/>
  </w:num>
  <w:num w:numId="12">
    <w:abstractNumId w:val="13"/>
  </w:num>
  <w:num w:numId="13">
    <w:abstractNumId w:val="5"/>
  </w:num>
  <w:num w:numId="14">
    <w:abstractNumId w:val="3"/>
  </w:num>
  <w:num w:numId="15">
    <w:abstractNumId w:val="15"/>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400"/>
    <w:rsid w:val="00006C61"/>
    <w:rsid w:val="00427307"/>
    <w:rsid w:val="009A3400"/>
    <w:rsid w:val="009E05F6"/>
    <w:rsid w:val="009E625D"/>
    <w:rsid w:val="00CB43AA"/>
    <w:rsid w:val="00F447DA"/>
    <w:rsid w:val="013C014C"/>
    <w:rsid w:val="01EF2B7C"/>
    <w:rsid w:val="02FE3A2D"/>
    <w:rsid w:val="0348279F"/>
    <w:rsid w:val="058C4953"/>
    <w:rsid w:val="113C120D"/>
    <w:rsid w:val="13033EDE"/>
    <w:rsid w:val="13F81BC9"/>
    <w:rsid w:val="14F132C5"/>
    <w:rsid w:val="151C4D79"/>
    <w:rsid w:val="159908B9"/>
    <w:rsid w:val="172924AD"/>
    <w:rsid w:val="1781647E"/>
    <w:rsid w:val="190D381D"/>
    <w:rsid w:val="199478B2"/>
    <w:rsid w:val="19BB04B6"/>
    <w:rsid w:val="19DC6BE7"/>
    <w:rsid w:val="1B062F2E"/>
    <w:rsid w:val="1B7F2400"/>
    <w:rsid w:val="1BEE14CD"/>
    <w:rsid w:val="1C5463CD"/>
    <w:rsid w:val="1CAE4F9B"/>
    <w:rsid w:val="216E5218"/>
    <w:rsid w:val="220B3DAA"/>
    <w:rsid w:val="22131B98"/>
    <w:rsid w:val="22183D8F"/>
    <w:rsid w:val="22E9227A"/>
    <w:rsid w:val="22EB1574"/>
    <w:rsid w:val="24642B72"/>
    <w:rsid w:val="25B87A3A"/>
    <w:rsid w:val="26055210"/>
    <w:rsid w:val="272B785E"/>
    <w:rsid w:val="27C97856"/>
    <w:rsid w:val="2AFF3235"/>
    <w:rsid w:val="2D4672DC"/>
    <w:rsid w:val="2D877742"/>
    <w:rsid w:val="2FB03FA1"/>
    <w:rsid w:val="31356C3E"/>
    <w:rsid w:val="317C7E02"/>
    <w:rsid w:val="3324332E"/>
    <w:rsid w:val="35E440BB"/>
    <w:rsid w:val="3652218C"/>
    <w:rsid w:val="36A809D7"/>
    <w:rsid w:val="37201C98"/>
    <w:rsid w:val="38074782"/>
    <w:rsid w:val="3A0C31E8"/>
    <w:rsid w:val="3B372AF4"/>
    <w:rsid w:val="3ED173C2"/>
    <w:rsid w:val="41F42B04"/>
    <w:rsid w:val="422E363D"/>
    <w:rsid w:val="46152750"/>
    <w:rsid w:val="46960499"/>
    <w:rsid w:val="46FA7713"/>
    <w:rsid w:val="47AF00C2"/>
    <w:rsid w:val="47EB5F40"/>
    <w:rsid w:val="47F3374E"/>
    <w:rsid w:val="484516B2"/>
    <w:rsid w:val="492634E8"/>
    <w:rsid w:val="4AB534BF"/>
    <w:rsid w:val="4B505271"/>
    <w:rsid w:val="4BCE7858"/>
    <w:rsid w:val="4BD3727C"/>
    <w:rsid w:val="4BEA0810"/>
    <w:rsid w:val="4CCE714E"/>
    <w:rsid w:val="4CD21AA0"/>
    <w:rsid w:val="4D760307"/>
    <w:rsid w:val="4E3A6154"/>
    <w:rsid w:val="4E864439"/>
    <w:rsid w:val="4FCB31D9"/>
    <w:rsid w:val="512433D5"/>
    <w:rsid w:val="52F11F1F"/>
    <w:rsid w:val="54B479AC"/>
    <w:rsid w:val="559B5028"/>
    <w:rsid w:val="56CE74EC"/>
    <w:rsid w:val="57682E6A"/>
    <w:rsid w:val="577F0BD0"/>
    <w:rsid w:val="589D15A5"/>
    <w:rsid w:val="590A377B"/>
    <w:rsid w:val="5B232CD4"/>
    <w:rsid w:val="604C0CE2"/>
    <w:rsid w:val="60707A8D"/>
    <w:rsid w:val="60D73E83"/>
    <w:rsid w:val="63680501"/>
    <w:rsid w:val="649C349A"/>
    <w:rsid w:val="6645514A"/>
    <w:rsid w:val="6A0C25A3"/>
    <w:rsid w:val="6AE51302"/>
    <w:rsid w:val="6C5E66E4"/>
    <w:rsid w:val="6CE46C90"/>
    <w:rsid w:val="6D801D93"/>
    <w:rsid w:val="6DEA6820"/>
    <w:rsid w:val="6DF36665"/>
    <w:rsid w:val="6DFC3F99"/>
    <w:rsid w:val="6E45667E"/>
    <w:rsid w:val="6FCB6B2E"/>
    <w:rsid w:val="71075688"/>
    <w:rsid w:val="715A0E66"/>
    <w:rsid w:val="73951B82"/>
    <w:rsid w:val="74231FFD"/>
    <w:rsid w:val="74441B35"/>
    <w:rsid w:val="7653700E"/>
    <w:rsid w:val="7A5E1368"/>
    <w:rsid w:val="7A614F68"/>
    <w:rsid w:val="7A7D20C7"/>
    <w:rsid w:val="7EDC5508"/>
    <w:rsid w:val="7FC73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pageBreakBefore/>
      <w:spacing w:before="340" w:after="330" w:line="578" w:lineRule="auto"/>
      <w:jc w:val="center"/>
      <w:outlineLvl w:val="0"/>
    </w:pPr>
    <w:rPr>
      <w:rFonts w:eastAsia="微软雅黑"/>
      <w:b/>
      <w:bCs/>
      <w:kern w:val="44"/>
      <w:sz w:val="32"/>
      <w:szCs w:val="44"/>
      <w:lang w:val="zh-CN"/>
    </w:rPr>
  </w:style>
  <w:style w:type="paragraph" w:styleId="4">
    <w:name w:val="heading 2"/>
    <w:basedOn w:val="1"/>
    <w:next w:val="1"/>
    <w:qFormat/>
    <w:uiPriority w:val="9"/>
    <w:pPr>
      <w:keepNext/>
      <w:keepLines/>
      <w:spacing w:after="50" w:afterLines="50" w:line="500" w:lineRule="exact"/>
      <w:jc w:val="left"/>
      <w:outlineLvl w:val="1"/>
    </w:pPr>
    <w:rPr>
      <w:rFonts w:ascii="微软雅黑" w:hAnsi="微软雅黑" w:eastAsia="微软雅黑"/>
      <w:b/>
      <w:bCs/>
      <w:sz w:val="28"/>
      <w:lang w:val="zh-CN"/>
    </w:rPr>
  </w:style>
  <w:style w:type="paragraph" w:styleId="5">
    <w:name w:val="heading 3"/>
    <w:basedOn w:val="1"/>
    <w:next w:val="1"/>
    <w:qFormat/>
    <w:uiPriority w:val="9"/>
    <w:pPr>
      <w:keepNext/>
      <w:keepLines/>
      <w:jc w:val="left"/>
      <w:outlineLvl w:val="2"/>
    </w:pPr>
    <w:rPr>
      <w:rFonts w:ascii="微软雅黑" w:hAnsi="仿宋" w:eastAsia="微软雅黑"/>
      <w:b/>
      <w:bCs/>
      <w:szCs w:val="28"/>
      <w:lang w:val="zh-CN"/>
    </w:rPr>
  </w:style>
  <w:style w:type="paragraph" w:styleId="6">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0"/>
    <w:pPr>
      <w:keepNext/>
      <w:keepLines/>
      <w:spacing w:before="280" w:after="290" w:line="372" w:lineRule="auto"/>
      <w:outlineLvl w:val="4"/>
    </w:pPr>
    <w:rPr>
      <w:b/>
      <w:sz w:val="28"/>
    </w:rPr>
  </w:style>
  <w:style w:type="paragraph" w:styleId="8">
    <w:name w:val="heading 6"/>
    <w:basedOn w:val="1"/>
    <w:next w:val="1"/>
    <w:semiHidden/>
    <w:unhideWhenUsed/>
    <w:qFormat/>
    <w:uiPriority w:val="0"/>
    <w:pPr>
      <w:keepNext/>
      <w:keepLines/>
      <w:spacing w:before="240" w:after="64" w:line="317" w:lineRule="auto"/>
      <w:outlineLvl w:val="5"/>
    </w:pPr>
    <w:rPr>
      <w:rFonts w:ascii="Arial" w:hAnsi="Arial" w:eastAsia="黑体"/>
      <w:b/>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lang w:val="zh-CN"/>
    </w:rPr>
  </w:style>
  <w:style w:type="paragraph" w:styleId="9">
    <w:name w:val="annotation text"/>
    <w:basedOn w:val="1"/>
    <w:qFormat/>
    <w:uiPriority w:val="0"/>
    <w:pPr>
      <w:jc w:val="left"/>
    </w:p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Normal (Web)"/>
    <w:basedOn w:val="1"/>
    <w:unhideWhenUsed/>
    <w:qFormat/>
    <w:uiPriority w:val="99"/>
    <w:pPr>
      <w:spacing w:before="100" w:beforeAutospacing="1" w:after="100" w:afterAutospacing="1"/>
      <w:jc w:val="left"/>
    </w:pPr>
    <w:rPr>
      <w:kern w:val="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paragraph" w:styleId="18">
    <w:name w:val="List Paragraph"/>
    <w:basedOn w:val="1"/>
    <w:qFormat/>
    <w:uiPriority w:val="99"/>
    <w:pPr>
      <w:ind w:firstLine="420" w:firstLineChars="200"/>
    </w:pPr>
  </w:style>
  <w:style w:type="paragraph" w:customStyle="1" w:styleId="19">
    <w:name w:val="！正文内容"/>
    <w:basedOn w:val="1"/>
    <w:qFormat/>
    <w:uiPriority w:val="99"/>
    <w:pPr>
      <w:spacing w:line="420" w:lineRule="atLeast"/>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1609</Words>
  <Characters>9172</Characters>
  <Lines>76</Lines>
  <Paragraphs>21</Paragraphs>
  <TotalTime>132</TotalTime>
  <ScaleCrop>false</ScaleCrop>
  <LinksUpToDate>false</LinksUpToDate>
  <CharactersWithSpaces>10760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2021-04-20T06:19:00Z</dcterms:created>
  <dc:creator>ecidi</dc:creator>
  <cp:lastModifiedBy>A王朝朝朝朝朝</cp:lastModifiedBy>
  <dcterms:modified xsi:type="dcterms:W3CDTF">2021-07-12T11:41:47Z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3C8200F0A6984E64B496B70D3AFB9305</vt:lpwstr>
  </property>
</Properties>
</file>