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DF867">
      <w:pPr>
        <w:pStyle w:val="16"/>
        <w:numPr>
          <w:ilvl w:val="0"/>
          <w:numId w:val="0"/>
        </w:numPr>
        <w:ind w:leftChars="0"/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  <w:t>湾区办</w:t>
      </w:r>
      <w:r>
        <w:rPr>
          <w:rFonts w:hint="eastAsia" w:ascii="宋体" w:hAnsi="宋体" w:eastAsia="宋体"/>
          <w:b/>
          <w:bCs/>
          <w:sz w:val="32"/>
          <w:szCs w:val="36"/>
        </w:rPr>
        <w:t>建筑方案报建要求</w:t>
      </w:r>
    </w:p>
    <w:p w14:paraId="640BF70F">
      <w:pPr>
        <w:spacing w:line="360" w:lineRule="auto"/>
        <w:rPr>
          <w:rFonts w:ascii="宋体" w:hAnsi="宋体"/>
          <w:spacing w:val="-12"/>
          <w:sz w:val="24"/>
        </w:rPr>
      </w:pPr>
    </w:p>
    <w:p w14:paraId="5A51DD8D">
      <w:pPr>
        <w:spacing w:line="360" w:lineRule="auto"/>
        <w:rPr>
          <w:rFonts w:ascii="宋体" w:hAnsi="宋体"/>
          <w:spacing w:val="-12"/>
          <w:sz w:val="24"/>
        </w:rPr>
      </w:pPr>
      <w:r>
        <w:rPr>
          <w:rFonts w:ascii="宋体" w:hAnsi="宋体"/>
          <w:spacing w:val="-12"/>
          <w:sz w:val="24"/>
        </w:rPr>
        <w:t>1</w:t>
      </w:r>
      <w:r>
        <w:rPr>
          <w:rFonts w:hint="eastAsia" w:ascii="宋体" w:hAnsi="宋体"/>
          <w:spacing w:val="-12"/>
          <w:sz w:val="24"/>
        </w:rPr>
        <w:t>、《土地使用权出让合同书》或用地方案图</w:t>
      </w:r>
    </w:p>
    <w:p w14:paraId="19774883">
      <w:pPr>
        <w:spacing w:line="360" w:lineRule="auto"/>
        <w:rPr>
          <w:rFonts w:ascii="宋体" w:hAnsi="宋体"/>
          <w:spacing w:val="-12"/>
          <w:sz w:val="24"/>
        </w:rPr>
      </w:pPr>
      <w:r>
        <w:rPr>
          <w:rFonts w:ascii="宋体" w:hAnsi="宋体"/>
          <w:spacing w:val="-12"/>
          <w:sz w:val="24"/>
        </w:rPr>
        <w:t>2</w:t>
      </w:r>
      <w:r>
        <w:rPr>
          <w:rFonts w:hint="eastAsia" w:ascii="宋体" w:hAnsi="宋体"/>
          <w:spacing w:val="-12"/>
          <w:sz w:val="24"/>
        </w:rPr>
        <w:t>、《城市设计意见单》或城市设计意见；</w:t>
      </w:r>
    </w:p>
    <w:p w14:paraId="10258F6D">
      <w:pPr>
        <w:spacing w:line="360" w:lineRule="auto"/>
        <w:rPr>
          <w:rFonts w:ascii="宋体" w:hAnsi="宋体"/>
          <w:spacing w:val="-12"/>
          <w:sz w:val="24"/>
        </w:rPr>
      </w:pPr>
      <w:r>
        <w:rPr>
          <w:rFonts w:ascii="宋体" w:hAnsi="宋体"/>
          <w:spacing w:val="-12"/>
          <w:sz w:val="24"/>
        </w:rPr>
        <w:t>3</w:t>
      </w:r>
      <w:r>
        <w:rPr>
          <w:rFonts w:hint="eastAsia" w:ascii="宋体" w:hAnsi="宋体"/>
          <w:spacing w:val="-12"/>
          <w:sz w:val="24"/>
        </w:rPr>
        <w:t>、《建设用地规划许可证》及其规划设计要点；</w:t>
      </w:r>
      <w:bookmarkStart w:id="0" w:name="_GoBack"/>
      <w:bookmarkEnd w:id="0"/>
    </w:p>
    <w:p w14:paraId="0BFC072B">
      <w:pPr>
        <w:spacing w:line="360" w:lineRule="auto"/>
        <w:rPr>
          <w:rFonts w:ascii="宋体" w:hAnsi="宋体"/>
          <w:spacing w:val="-12"/>
          <w:sz w:val="24"/>
        </w:rPr>
      </w:pPr>
      <w:r>
        <w:rPr>
          <w:rFonts w:ascii="宋体" w:hAnsi="宋体"/>
          <w:spacing w:val="-12"/>
          <w:sz w:val="24"/>
        </w:rPr>
        <w:t>4</w:t>
      </w:r>
      <w:r>
        <w:rPr>
          <w:rFonts w:hint="eastAsia" w:ascii="宋体" w:hAnsi="宋体"/>
          <w:spacing w:val="-12"/>
          <w:sz w:val="24"/>
        </w:rPr>
        <w:t>、对</w:t>
      </w:r>
      <w:r>
        <w:rPr>
          <w:rFonts w:hint="eastAsia" w:ascii="宋体" w:hAnsi="宋体"/>
          <w:spacing w:val="-12"/>
          <w:sz w:val="24"/>
          <w:lang w:val="en-US" w:eastAsia="zh-CN"/>
        </w:rPr>
        <w:t>城市设计意见、</w:t>
      </w:r>
      <w:r>
        <w:rPr>
          <w:rFonts w:hint="eastAsia" w:ascii="宋体" w:hAnsi="宋体"/>
          <w:spacing w:val="-12"/>
          <w:sz w:val="24"/>
        </w:rPr>
        <w:t>专家意见、总师意见采纳情况说明；</w:t>
      </w:r>
    </w:p>
    <w:p w14:paraId="55895D35">
      <w:pPr>
        <w:spacing w:line="360" w:lineRule="auto"/>
        <w:rPr>
          <w:rFonts w:ascii="宋体" w:hAnsi="宋体"/>
          <w:spacing w:val="-12"/>
          <w:sz w:val="24"/>
        </w:rPr>
      </w:pPr>
      <w:r>
        <w:rPr>
          <w:rFonts w:ascii="宋体" w:hAnsi="宋体"/>
          <w:spacing w:val="-12"/>
          <w:sz w:val="24"/>
        </w:rPr>
        <w:t>5</w:t>
      </w:r>
      <w:r>
        <w:rPr>
          <w:rFonts w:hint="eastAsia" w:ascii="宋体" w:hAnsi="宋体"/>
          <w:spacing w:val="-12"/>
          <w:sz w:val="24"/>
        </w:rPr>
        <w:t>、设计文本（总图及扉页均盖设计单位：公章、注册章、出图章），包括扉页、设计说明、设计图纸（屋顶总平面图、一层总平面图及竖向设计图、消防总平面图、各层平面图、各朝向立面图、</w:t>
      </w:r>
      <w:r>
        <w:rPr>
          <w:rFonts w:hint="eastAsia" w:ascii="宋体" w:hAnsi="宋体"/>
          <w:spacing w:val="-12"/>
          <w:sz w:val="24"/>
          <w:lang w:val="en-US" w:eastAsia="zh-CN"/>
        </w:rPr>
        <w:t>剖面图</w:t>
      </w:r>
      <w:r>
        <w:rPr>
          <w:rFonts w:hint="eastAsia" w:ascii="宋体" w:hAnsi="宋体"/>
          <w:spacing w:val="-12"/>
          <w:sz w:val="24"/>
          <w:lang w:eastAsia="zh-CN"/>
        </w:rPr>
        <w:t>、</w:t>
      </w:r>
      <w:r>
        <w:rPr>
          <w:rFonts w:hint="eastAsia" w:ascii="宋体" w:hAnsi="宋体"/>
          <w:spacing w:val="-12"/>
          <w:sz w:val="24"/>
        </w:rPr>
        <w:t>核增建筑面积专篇、绿色建筑设计专篇、绿化设计专篇等）、分析图（城市设计、现状及周边照片、周边工程衔接、人车流线组织、立面造型构思、公共配套设施布局、景观设计、无障碍</w:t>
      </w:r>
      <w:r>
        <w:rPr>
          <w:rFonts w:hint="eastAsia" w:ascii="宋体" w:hAnsi="宋体"/>
          <w:spacing w:val="-12"/>
          <w:sz w:val="24"/>
          <w:lang w:val="en-US" w:eastAsia="zh-CN"/>
        </w:rPr>
        <w:t>系统</w:t>
      </w:r>
      <w:r>
        <w:rPr>
          <w:rFonts w:hint="eastAsia" w:ascii="宋体" w:hAnsi="宋体"/>
          <w:spacing w:val="-12"/>
          <w:sz w:val="24"/>
        </w:rPr>
        <w:t>等）、效果图（含周边建筑的主要城市界面鸟瞰图、主要人流及视线通廊位置人视图、局部近人尺度空间效果图、重点空间表现图等，能分别反映沿主要街道、主出入口及第五</w:t>
      </w:r>
      <w:r>
        <w:rPr>
          <w:rFonts w:hint="eastAsia" w:ascii="宋体" w:hAnsi="宋体"/>
          <w:spacing w:val="-12"/>
          <w:sz w:val="24"/>
          <w:lang w:val="en-US" w:eastAsia="zh-CN"/>
        </w:rPr>
        <w:t>第六</w:t>
      </w:r>
      <w:r>
        <w:rPr>
          <w:rFonts w:hint="eastAsia" w:ascii="宋体" w:hAnsi="宋体"/>
          <w:spacing w:val="-12"/>
          <w:sz w:val="24"/>
        </w:rPr>
        <w:t>立面的真实设计情况）</w:t>
      </w:r>
    </w:p>
    <w:p w14:paraId="536D1DE6">
      <w:pPr>
        <w:pStyle w:val="16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/>
          <w:spacing w:val="-12"/>
          <w:sz w:val="24"/>
          <w:szCs w:val="24"/>
        </w:rPr>
      </w:pPr>
    </w:p>
    <w:p w14:paraId="66385C90">
      <w:pPr>
        <w:rPr>
          <w:rFonts w:hint="eastAsia" w:ascii="宋体" w:hAnsi="宋体"/>
          <w:spacing w:val="-12"/>
          <w:sz w:val="24"/>
        </w:rPr>
      </w:pPr>
      <w:r>
        <w:rPr>
          <w:rFonts w:hint="eastAsia" w:ascii="宋体" w:hAnsi="宋体"/>
          <w:spacing w:val="-12"/>
          <w:sz w:val="24"/>
          <w:lang w:val="en-US" w:eastAsia="zh-CN"/>
        </w:rPr>
        <w:t xml:space="preserve">* </w:t>
      </w:r>
      <w:r>
        <w:rPr>
          <w:rFonts w:hint="eastAsia" w:ascii="宋体" w:hAnsi="宋体"/>
          <w:spacing w:val="-12"/>
          <w:sz w:val="24"/>
        </w:rPr>
        <w:t>上述材料扫描件PDF、CAD、效果图JPG大图，数字模型（提供原件）</w:t>
      </w:r>
    </w:p>
    <w:p w14:paraId="490015CF">
      <w:pPr>
        <w:rPr>
          <w:rFonts w:hint="eastAsia" w:ascii="宋体" w:hAnsi="宋体" w:eastAsia="宋体"/>
          <w:b/>
          <w:bCs/>
          <w:sz w:val="32"/>
          <w:szCs w:val="36"/>
        </w:rPr>
      </w:pPr>
    </w:p>
    <w:p w14:paraId="0DE9DAFA">
      <w:pPr>
        <w:rPr>
          <w:rFonts w:hint="eastAsia" w:ascii="宋体" w:hAnsi="宋体" w:eastAsia="宋体"/>
          <w:b/>
          <w:bCs/>
          <w:sz w:val="32"/>
          <w:szCs w:val="36"/>
        </w:rPr>
      </w:pPr>
    </w:p>
    <w:p w14:paraId="7A43C165">
      <w:pPr>
        <w:jc w:val="center"/>
        <w:rPr>
          <w:rFonts w:hint="eastAsia"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宝安中心区城市设计关注要点</w:t>
      </w:r>
    </w:p>
    <w:tbl>
      <w:tblPr>
        <w:tblStyle w:val="11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57"/>
        <w:gridCol w:w="2265"/>
        <w:gridCol w:w="1223"/>
        <w:gridCol w:w="1134"/>
        <w:gridCol w:w="2835"/>
      </w:tblGrid>
      <w:tr w14:paraId="14DFE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5" w:type="dxa"/>
            <w:shd w:val="clear" w:color="auto" w:fill="F1F1F1" w:themeFill="background1" w:themeFillShade="F2"/>
            <w:vAlign w:val="center"/>
          </w:tcPr>
          <w:p w14:paraId="4ECF5EEF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类型</w:t>
            </w:r>
          </w:p>
        </w:tc>
        <w:tc>
          <w:tcPr>
            <w:tcW w:w="1757" w:type="dxa"/>
            <w:shd w:val="clear" w:color="auto" w:fill="F1F1F1" w:themeFill="background1" w:themeFillShade="F2"/>
            <w:vAlign w:val="center"/>
          </w:tcPr>
          <w:p w14:paraId="0479D6A9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审查内容</w:t>
            </w:r>
          </w:p>
        </w:tc>
        <w:tc>
          <w:tcPr>
            <w:tcW w:w="2265" w:type="dxa"/>
            <w:shd w:val="clear" w:color="auto" w:fill="F1F1F1" w:themeFill="background1" w:themeFillShade="F2"/>
            <w:vAlign w:val="center"/>
          </w:tcPr>
          <w:p w14:paraId="512CD115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审查要求</w:t>
            </w:r>
          </w:p>
        </w:tc>
        <w:tc>
          <w:tcPr>
            <w:tcW w:w="1223" w:type="dxa"/>
            <w:shd w:val="clear" w:color="auto" w:fill="F1F1F1" w:themeFill="background1" w:themeFillShade="F2"/>
            <w:vAlign w:val="center"/>
          </w:tcPr>
          <w:p w14:paraId="3F5DFB9B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设计方案值</w:t>
            </w:r>
          </w:p>
        </w:tc>
        <w:tc>
          <w:tcPr>
            <w:tcW w:w="1134" w:type="dxa"/>
            <w:shd w:val="clear" w:color="auto" w:fill="F1F1F1" w:themeFill="background1" w:themeFillShade="F2"/>
            <w:vAlign w:val="center"/>
          </w:tcPr>
          <w:p w14:paraId="138A2F25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是否满足</w:t>
            </w:r>
          </w:p>
        </w:tc>
        <w:tc>
          <w:tcPr>
            <w:tcW w:w="2835" w:type="dxa"/>
            <w:shd w:val="clear" w:color="auto" w:fill="F1F1F1" w:themeFill="background1" w:themeFillShade="F2"/>
            <w:vAlign w:val="center"/>
          </w:tcPr>
          <w:p w14:paraId="373F5D02">
            <w:pPr>
              <w:widowControl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备注</w:t>
            </w:r>
          </w:p>
        </w:tc>
      </w:tr>
      <w:tr w14:paraId="44181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  <w:vAlign w:val="center"/>
          </w:tcPr>
          <w:p w14:paraId="6C10953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规划</w:t>
            </w:r>
          </w:p>
        </w:tc>
        <w:tc>
          <w:tcPr>
            <w:tcW w:w="1757" w:type="dxa"/>
            <w:vAlign w:val="center"/>
          </w:tcPr>
          <w:p w14:paraId="5338CB3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地块限高</w:t>
            </w:r>
          </w:p>
        </w:tc>
        <w:tc>
          <w:tcPr>
            <w:tcW w:w="2265" w:type="dxa"/>
          </w:tcPr>
          <w:p w14:paraId="36FC0DB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规划设计要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点80</w:t>
            </w:r>
            <w:r>
              <w:rPr>
                <w:rFonts w:hint="eastAsia" w:asciiTheme="minorEastAsia" w:hAnsiTheme="minorEastAsia"/>
                <w:szCs w:val="21"/>
              </w:rPr>
              <w:t>m</w:t>
            </w:r>
          </w:p>
        </w:tc>
        <w:tc>
          <w:tcPr>
            <w:tcW w:w="1223" w:type="dxa"/>
            <w:vAlign w:val="center"/>
          </w:tcPr>
          <w:p w14:paraId="7EA70F0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m</w:t>
            </w:r>
          </w:p>
        </w:tc>
        <w:tc>
          <w:tcPr>
            <w:tcW w:w="1134" w:type="dxa"/>
            <w:vAlign w:val="center"/>
          </w:tcPr>
          <w:p w14:paraId="69F963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Merge w:val="restart"/>
            <w:vAlign w:val="center"/>
          </w:tcPr>
          <w:p w14:paraId="1F636B4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如有调整是否取得规划主管部门批复</w:t>
            </w:r>
          </w:p>
        </w:tc>
      </w:tr>
      <w:tr w14:paraId="5184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  <w:vAlign w:val="center"/>
          </w:tcPr>
          <w:p w14:paraId="6A956A2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01156E4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退线退距</w:t>
            </w:r>
          </w:p>
        </w:tc>
        <w:tc>
          <w:tcPr>
            <w:tcW w:w="2265" w:type="dxa"/>
          </w:tcPr>
          <w:p w14:paraId="2E3437B1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海秀路侧一级退线≥9米、海秀路、海天路侧二级退线≥12米，其余各侧一级退线≥6米、二级退线≥9米</w:t>
            </w:r>
          </w:p>
        </w:tc>
        <w:tc>
          <w:tcPr>
            <w:tcW w:w="1223" w:type="dxa"/>
            <w:vAlign w:val="center"/>
          </w:tcPr>
          <w:p w14:paraId="244946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m/</w:t>
            </w:r>
            <w:r>
              <w:rPr>
                <w:rFonts w:asciiTheme="minorEastAsia" w:hAnsiTheme="minorEastAsia"/>
                <w:szCs w:val="21"/>
              </w:rPr>
              <w:t>xx</w:t>
            </w:r>
            <w:r>
              <w:rPr>
                <w:rFonts w:hint="eastAsia" w:asciiTheme="minorEastAsia" w:hAnsiTheme="minorEastAsia"/>
                <w:szCs w:val="21"/>
              </w:rPr>
              <w:t>m</w:t>
            </w:r>
          </w:p>
        </w:tc>
        <w:tc>
          <w:tcPr>
            <w:tcW w:w="1134" w:type="dxa"/>
            <w:vAlign w:val="center"/>
          </w:tcPr>
          <w:p w14:paraId="2A3514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Merge w:val="continue"/>
            <w:vAlign w:val="center"/>
          </w:tcPr>
          <w:p w14:paraId="514EA7B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0683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  <w:vAlign w:val="center"/>
          </w:tcPr>
          <w:p w14:paraId="5DA2FB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</w:t>
            </w:r>
          </w:p>
        </w:tc>
        <w:tc>
          <w:tcPr>
            <w:tcW w:w="1757" w:type="dxa"/>
            <w:vAlign w:val="center"/>
          </w:tcPr>
          <w:p w14:paraId="50AA0A9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容积率</w:t>
            </w:r>
          </w:p>
        </w:tc>
        <w:tc>
          <w:tcPr>
            <w:tcW w:w="2265" w:type="dxa"/>
          </w:tcPr>
          <w:p w14:paraId="2664984C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规划批复≤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3.2</w:t>
            </w:r>
          </w:p>
        </w:tc>
        <w:tc>
          <w:tcPr>
            <w:tcW w:w="1223" w:type="dxa"/>
            <w:vAlign w:val="center"/>
          </w:tcPr>
          <w:p w14:paraId="7C336ED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5C3099D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Merge w:val="continue"/>
            <w:vAlign w:val="center"/>
          </w:tcPr>
          <w:p w14:paraId="4F8A44F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A6B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14A2982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3CB4DE9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建筑面积</w:t>
            </w:r>
          </w:p>
        </w:tc>
        <w:tc>
          <w:tcPr>
            <w:tcW w:w="2265" w:type="dxa"/>
            <w:vAlign w:val="center"/>
          </w:tcPr>
          <w:p w14:paraId="30A1433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住宅104600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  <w:p w14:paraId="320347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商业10095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  <w:p w14:paraId="76B277F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物业服务用房240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  <w:p w14:paraId="01CB7A4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托育机构500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  <w:p w14:paraId="54336628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幼儿园4100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</w:tc>
        <w:tc>
          <w:tcPr>
            <w:tcW w:w="1223" w:type="dxa"/>
            <w:vAlign w:val="center"/>
          </w:tcPr>
          <w:p w14:paraId="761EDD9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xx</w:t>
            </w:r>
            <w:r>
              <w:rPr>
                <w:rFonts w:hint="eastAsia" w:asciiTheme="minorEastAsia" w:hAnsiTheme="minorEastAsia"/>
                <w:szCs w:val="21"/>
              </w:rPr>
              <w:t>功能</w:t>
            </w:r>
            <w:r>
              <w:rPr>
                <w:rFonts w:asciiTheme="minorEastAsia" w:hAnsiTheme="minorEastAsia"/>
                <w:szCs w:val="21"/>
              </w:rPr>
              <w:t>xx</w:t>
            </w:r>
            <w:r>
              <w:rPr>
                <w:rFonts w:hint="eastAsia" w:asciiTheme="minorEastAsia" w:hAnsiTheme="minorEastAsia"/>
                <w:szCs w:val="21"/>
              </w:rPr>
              <w:t>㎡</w:t>
            </w:r>
          </w:p>
        </w:tc>
        <w:tc>
          <w:tcPr>
            <w:tcW w:w="1134" w:type="dxa"/>
            <w:vAlign w:val="center"/>
          </w:tcPr>
          <w:p w14:paraId="1926F37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Merge w:val="continue"/>
            <w:vAlign w:val="center"/>
          </w:tcPr>
          <w:p w14:paraId="065733D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84F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29D504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181DBEF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覆盖率</w:t>
            </w:r>
          </w:p>
        </w:tc>
        <w:tc>
          <w:tcPr>
            <w:tcW w:w="2265" w:type="dxa"/>
          </w:tcPr>
          <w:p w14:paraId="4832BC80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一级≤50%，二级≤25%</w:t>
            </w:r>
          </w:p>
        </w:tc>
        <w:tc>
          <w:tcPr>
            <w:tcW w:w="1223" w:type="dxa"/>
            <w:vAlign w:val="center"/>
          </w:tcPr>
          <w:p w14:paraId="5D7666F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25A1F1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7666FEF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以批复为准</w:t>
            </w:r>
          </w:p>
        </w:tc>
      </w:tr>
      <w:tr w14:paraId="52084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FBB41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4DDBC51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绿化率</w:t>
            </w:r>
          </w:p>
        </w:tc>
        <w:tc>
          <w:tcPr>
            <w:tcW w:w="2265" w:type="dxa"/>
          </w:tcPr>
          <w:p w14:paraId="032591A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要求比例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</w:t>
            </w:r>
            <w:r>
              <w:rPr>
                <w:rFonts w:asciiTheme="minorEastAsia" w:hAnsiTheme="minorEastAsia"/>
                <w:szCs w:val="21"/>
              </w:rPr>
              <w:t>%</w:t>
            </w:r>
          </w:p>
        </w:tc>
        <w:tc>
          <w:tcPr>
            <w:tcW w:w="1223" w:type="dxa"/>
            <w:vAlign w:val="center"/>
          </w:tcPr>
          <w:p w14:paraId="535061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xx%</w:t>
            </w:r>
          </w:p>
        </w:tc>
        <w:tc>
          <w:tcPr>
            <w:tcW w:w="1134" w:type="dxa"/>
            <w:vAlign w:val="center"/>
          </w:tcPr>
          <w:p w14:paraId="4DB62BD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60BD1CD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以批复为准</w:t>
            </w:r>
          </w:p>
        </w:tc>
      </w:tr>
      <w:tr w14:paraId="56B3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233FC77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60D2E44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体量色彩</w:t>
            </w:r>
          </w:p>
        </w:tc>
        <w:tc>
          <w:tcPr>
            <w:tcW w:w="2265" w:type="dxa"/>
            <w:vAlign w:val="center"/>
          </w:tcPr>
          <w:p w14:paraId="158D95A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简洁现代、塔裙协调</w:t>
            </w:r>
          </w:p>
        </w:tc>
        <w:tc>
          <w:tcPr>
            <w:tcW w:w="1223" w:type="dxa"/>
            <w:vAlign w:val="center"/>
          </w:tcPr>
          <w:p w14:paraId="73B1D65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见效果图及分析图</w:t>
            </w:r>
          </w:p>
        </w:tc>
        <w:tc>
          <w:tcPr>
            <w:tcW w:w="1134" w:type="dxa"/>
            <w:vAlign w:val="center"/>
          </w:tcPr>
          <w:p w14:paraId="0877CE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773210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考虑标志性与群组风貌，减少看海遮挡，形体逻辑清晰</w:t>
            </w:r>
          </w:p>
        </w:tc>
      </w:tr>
      <w:tr w14:paraId="5934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1B3FDC2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7BEE63BD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功能布局</w:t>
            </w:r>
          </w:p>
        </w:tc>
        <w:tc>
          <w:tcPr>
            <w:tcW w:w="2265" w:type="dxa"/>
            <w:vAlign w:val="center"/>
          </w:tcPr>
          <w:p w14:paraId="03754F1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公共服务设施布局</w:t>
            </w:r>
          </w:p>
        </w:tc>
        <w:tc>
          <w:tcPr>
            <w:tcW w:w="1223" w:type="dxa"/>
            <w:vAlign w:val="center"/>
          </w:tcPr>
          <w:p w14:paraId="4668ABF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见分析图</w:t>
            </w:r>
          </w:p>
        </w:tc>
        <w:tc>
          <w:tcPr>
            <w:tcW w:w="1134" w:type="dxa"/>
            <w:vAlign w:val="center"/>
          </w:tcPr>
          <w:p w14:paraId="389A889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1B77AD0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保证可达性和接收单位需求</w:t>
            </w:r>
          </w:p>
        </w:tc>
      </w:tr>
      <w:tr w14:paraId="266F7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51B481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14D90B8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日照</w:t>
            </w:r>
          </w:p>
        </w:tc>
        <w:tc>
          <w:tcPr>
            <w:tcW w:w="2265" w:type="dxa"/>
            <w:vAlign w:val="center"/>
          </w:tcPr>
          <w:p w14:paraId="659D0A5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地块（含周边）日照</w:t>
            </w:r>
          </w:p>
        </w:tc>
        <w:tc>
          <w:tcPr>
            <w:tcW w:w="1223" w:type="dxa"/>
            <w:vAlign w:val="center"/>
          </w:tcPr>
          <w:p w14:paraId="54A1CD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见分析图</w:t>
            </w:r>
          </w:p>
        </w:tc>
        <w:tc>
          <w:tcPr>
            <w:tcW w:w="1134" w:type="dxa"/>
            <w:vAlign w:val="center"/>
          </w:tcPr>
          <w:p w14:paraId="5E5275B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1C7A99E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住宅或</w:t>
            </w:r>
            <w:r>
              <w:rPr>
                <w:rFonts w:hint="eastAsia" w:asciiTheme="minorEastAsia" w:hAnsiTheme="minorEastAsia"/>
                <w:szCs w:val="21"/>
              </w:rPr>
              <w:t>周边</w:t>
            </w:r>
            <w:r>
              <w:rPr>
                <w:rFonts w:asciiTheme="minorEastAsia" w:hAnsiTheme="minorEastAsia"/>
                <w:szCs w:val="21"/>
              </w:rPr>
              <w:t>300m</w:t>
            </w:r>
            <w:r>
              <w:rPr>
                <w:rFonts w:hint="eastAsia" w:asciiTheme="minorEastAsia" w:hAnsiTheme="minorEastAsia"/>
                <w:szCs w:val="21"/>
              </w:rPr>
              <w:t>范围有住宅、学校，应提供日照分析</w:t>
            </w:r>
          </w:p>
        </w:tc>
      </w:tr>
      <w:tr w14:paraId="2BC3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66CB454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1F2EA75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阳台</w:t>
            </w:r>
          </w:p>
        </w:tc>
        <w:tc>
          <w:tcPr>
            <w:tcW w:w="2265" w:type="dxa"/>
            <w:vAlign w:val="center"/>
          </w:tcPr>
          <w:p w14:paraId="5BD58A11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-</w:t>
            </w:r>
          </w:p>
        </w:tc>
        <w:tc>
          <w:tcPr>
            <w:tcW w:w="1223" w:type="dxa"/>
            <w:vAlign w:val="center"/>
          </w:tcPr>
          <w:p w14:paraId="2A1E9E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见平面图及立面图</w:t>
            </w:r>
          </w:p>
        </w:tc>
        <w:tc>
          <w:tcPr>
            <w:tcW w:w="1134" w:type="dxa"/>
            <w:vAlign w:val="center"/>
          </w:tcPr>
          <w:p w14:paraId="73B32C5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3BB8633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阳台下方考虑防坠物措施</w:t>
            </w:r>
          </w:p>
        </w:tc>
      </w:tr>
      <w:tr w14:paraId="58D7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  <w:vAlign w:val="center"/>
          </w:tcPr>
          <w:p w14:paraId="6A224F9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交通</w:t>
            </w:r>
          </w:p>
        </w:tc>
        <w:tc>
          <w:tcPr>
            <w:tcW w:w="1757" w:type="dxa"/>
            <w:vMerge w:val="restart"/>
            <w:vAlign w:val="center"/>
          </w:tcPr>
          <w:p w14:paraId="41552F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机动车出入口</w:t>
            </w:r>
          </w:p>
        </w:tc>
        <w:tc>
          <w:tcPr>
            <w:tcW w:w="2265" w:type="dxa"/>
          </w:tcPr>
          <w:p w14:paraId="7C1599E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规划批复x侧设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个</w:t>
            </w:r>
          </w:p>
        </w:tc>
        <w:tc>
          <w:tcPr>
            <w:tcW w:w="1223" w:type="dxa"/>
            <w:vAlign w:val="center"/>
          </w:tcPr>
          <w:p w14:paraId="63BF671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x侧设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个</w:t>
            </w:r>
          </w:p>
        </w:tc>
        <w:tc>
          <w:tcPr>
            <w:tcW w:w="1134" w:type="dxa"/>
            <w:vAlign w:val="center"/>
          </w:tcPr>
          <w:p w14:paraId="40E22A7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3F847DB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减小对活跃界面的影响</w:t>
            </w:r>
          </w:p>
        </w:tc>
      </w:tr>
      <w:tr w14:paraId="4AE7D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  <w:vAlign w:val="center"/>
          </w:tcPr>
          <w:p w14:paraId="35BFEB0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1EA93E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</w:tcPr>
          <w:p w14:paraId="5DC1E4E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接入道路等级</w:t>
            </w:r>
          </w:p>
        </w:tc>
        <w:tc>
          <w:tcPr>
            <w:tcW w:w="1223" w:type="dxa"/>
            <w:vAlign w:val="center"/>
          </w:tcPr>
          <w:p w14:paraId="7277A5D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732147B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5EC872C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不应为主干路，宜为支路</w:t>
            </w:r>
          </w:p>
        </w:tc>
      </w:tr>
      <w:tr w14:paraId="1D7F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2183A3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5222568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</w:tcPr>
          <w:p w14:paraId="0A5D8A0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与周边出入口、公交站间距</w:t>
            </w:r>
          </w:p>
        </w:tc>
        <w:tc>
          <w:tcPr>
            <w:tcW w:w="1223" w:type="dxa"/>
            <w:vAlign w:val="center"/>
          </w:tcPr>
          <w:p w14:paraId="4183F4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xx</w:t>
            </w:r>
            <w:r>
              <w:rPr>
                <w:rFonts w:hint="eastAsia" w:asciiTheme="minorEastAsia" w:hAnsiTheme="minorEastAsia"/>
                <w:szCs w:val="21"/>
              </w:rPr>
              <w:t>侧xm</w:t>
            </w:r>
          </w:p>
        </w:tc>
        <w:tc>
          <w:tcPr>
            <w:tcW w:w="1134" w:type="dxa"/>
            <w:vAlign w:val="center"/>
          </w:tcPr>
          <w:p w14:paraId="7E47857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18D77A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次干道≥5</w:t>
            </w:r>
            <w:r>
              <w:rPr>
                <w:rFonts w:asciiTheme="minorEastAsia" w:hAnsiTheme="minorEastAsia"/>
                <w:szCs w:val="21"/>
              </w:rPr>
              <w:t>0m</w:t>
            </w:r>
            <w:r>
              <w:rPr>
                <w:rFonts w:hint="eastAsia" w:asciiTheme="minorEastAsia" w:hAnsiTheme="minorEastAsia"/>
                <w:szCs w:val="21"/>
              </w:rPr>
              <w:t>、支路≥</w:t>
            </w:r>
            <w:r>
              <w:rPr>
                <w:rFonts w:asciiTheme="minorEastAsia" w:hAnsiTheme="minorEastAsia"/>
                <w:szCs w:val="21"/>
              </w:rPr>
              <w:t>30m</w:t>
            </w:r>
            <w:r>
              <w:rPr>
                <w:rFonts w:hint="eastAsia" w:asciiTheme="minorEastAsia" w:hAnsiTheme="minorEastAsia"/>
                <w:szCs w:val="21"/>
              </w:rPr>
              <w:t>、地铁口/公交站≥1</w:t>
            </w:r>
            <w:r>
              <w:rPr>
                <w:rFonts w:asciiTheme="minorEastAsia" w:hAnsiTheme="minorEastAsia"/>
                <w:szCs w:val="21"/>
              </w:rPr>
              <w:t>5m</w:t>
            </w:r>
          </w:p>
        </w:tc>
      </w:tr>
      <w:tr w14:paraId="58EC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36E97F2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36BF4C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机动车流线</w:t>
            </w:r>
          </w:p>
        </w:tc>
        <w:tc>
          <w:tcPr>
            <w:tcW w:w="2265" w:type="dxa"/>
          </w:tcPr>
          <w:p w14:paraId="63F48A6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减少人车交叉及重合</w:t>
            </w:r>
          </w:p>
        </w:tc>
        <w:tc>
          <w:tcPr>
            <w:tcW w:w="1223" w:type="dxa"/>
            <w:vAlign w:val="center"/>
          </w:tcPr>
          <w:p w14:paraId="376DB21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见分析图</w:t>
            </w:r>
          </w:p>
        </w:tc>
        <w:tc>
          <w:tcPr>
            <w:tcW w:w="1134" w:type="dxa"/>
            <w:vAlign w:val="center"/>
          </w:tcPr>
          <w:p w14:paraId="0656B43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474C65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地面车行流线避免过长</w:t>
            </w:r>
          </w:p>
        </w:tc>
      </w:tr>
      <w:tr w14:paraId="51CF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5E1B82C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60750D8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机动车停车位</w:t>
            </w:r>
          </w:p>
        </w:tc>
        <w:tc>
          <w:tcPr>
            <w:tcW w:w="2265" w:type="dxa"/>
          </w:tcPr>
          <w:p w14:paraId="059574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规划批复x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个，地上/地下</w:t>
            </w:r>
          </w:p>
        </w:tc>
        <w:tc>
          <w:tcPr>
            <w:tcW w:w="1223" w:type="dxa"/>
            <w:vAlign w:val="center"/>
          </w:tcPr>
          <w:p w14:paraId="518FEA0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x个</w:t>
            </w:r>
          </w:p>
        </w:tc>
        <w:tc>
          <w:tcPr>
            <w:tcW w:w="1134" w:type="dxa"/>
            <w:vAlign w:val="center"/>
          </w:tcPr>
          <w:p w14:paraId="191314E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0C16628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原则设于地下</w:t>
            </w:r>
          </w:p>
        </w:tc>
      </w:tr>
      <w:tr w14:paraId="7A5C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1E85F2D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13C0D9C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非机动停车位</w:t>
            </w:r>
          </w:p>
        </w:tc>
        <w:tc>
          <w:tcPr>
            <w:tcW w:w="2265" w:type="dxa"/>
            <w:vAlign w:val="center"/>
          </w:tcPr>
          <w:p w14:paraId="686E597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规划批复x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个</w:t>
            </w:r>
          </w:p>
        </w:tc>
        <w:tc>
          <w:tcPr>
            <w:tcW w:w="1223" w:type="dxa"/>
            <w:vAlign w:val="center"/>
          </w:tcPr>
          <w:p w14:paraId="6C6B055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个</w:t>
            </w:r>
          </w:p>
        </w:tc>
        <w:tc>
          <w:tcPr>
            <w:tcW w:w="1134" w:type="dxa"/>
            <w:vAlign w:val="center"/>
          </w:tcPr>
          <w:p w14:paraId="60B8D60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2DF7113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交叉口1</w:t>
            </w:r>
            <w:r>
              <w:rPr>
                <w:rFonts w:asciiTheme="minorEastAsia" w:hAnsiTheme="minorEastAsia"/>
                <w:szCs w:val="21"/>
              </w:rPr>
              <w:t>5m</w:t>
            </w:r>
            <w:r>
              <w:rPr>
                <w:rFonts w:hint="eastAsia" w:asciiTheme="minorEastAsia" w:hAnsiTheme="minorEastAsia"/>
                <w:szCs w:val="21"/>
              </w:rPr>
              <w:t>以外的路侧带，靠近但不应占用公共空间</w:t>
            </w:r>
          </w:p>
        </w:tc>
      </w:tr>
      <w:tr w14:paraId="2D41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135" w:type="dxa"/>
            <w:vMerge w:val="continue"/>
          </w:tcPr>
          <w:p w14:paraId="4C8A968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 w14:paraId="7BBEB35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空中公共人行</w:t>
            </w:r>
          </w:p>
        </w:tc>
        <w:tc>
          <w:tcPr>
            <w:tcW w:w="2265" w:type="dxa"/>
            <w:vAlign w:val="center"/>
          </w:tcPr>
          <w:p w14:paraId="5DF387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城市设计接口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</w:rPr>
              <w:t>个，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接南街坊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净宽≥4m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桥下净高≥5</w:t>
            </w:r>
            <w:r>
              <w:rPr>
                <w:rFonts w:hint="eastAsia" w:asciiTheme="minorEastAsia" w:hAnsiTheme="minorEastAsia"/>
                <w:szCs w:val="21"/>
              </w:rPr>
              <w:t>m</w:t>
            </w:r>
          </w:p>
        </w:tc>
        <w:tc>
          <w:tcPr>
            <w:tcW w:w="1223" w:type="dxa"/>
          </w:tcPr>
          <w:p w14:paraId="62B0395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x个，位置为x</w:t>
            </w:r>
            <w:r>
              <w:rPr>
                <w:rFonts w:asciiTheme="minorEastAsia" w:hAnsiTheme="minorEastAsia"/>
                <w:szCs w:val="21"/>
              </w:rPr>
              <w:t>x,</w:t>
            </w:r>
            <w:r>
              <w:rPr>
                <w:rFonts w:hint="eastAsia" w:asciiTheme="minorEastAsia" w:hAnsiTheme="minorEastAsia"/>
                <w:szCs w:val="21"/>
              </w:rPr>
              <w:t xml:space="preserve"> 宽度xm，净高x</w:t>
            </w:r>
            <w:r>
              <w:rPr>
                <w:rFonts w:asciiTheme="minorEastAsia" w:hAnsiTheme="minorEastAsia"/>
                <w:szCs w:val="21"/>
              </w:rPr>
              <w:t>x</w:t>
            </w:r>
            <w:r>
              <w:rPr>
                <w:rFonts w:hint="eastAsia" w:asciiTheme="minorEastAsia" w:hAnsiTheme="minorEastAsia"/>
                <w:szCs w:val="21"/>
              </w:rPr>
              <w:t>m</w:t>
            </w:r>
          </w:p>
        </w:tc>
        <w:tc>
          <w:tcPr>
            <w:tcW w:w="1134" w:type="dxa"/>
            <w:vAlign w:val="center"/>
          </w:tcPr>
          <w:p w14:paraId="1D95D6A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185919D7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图纸应标明接口连接方式、标高、坡道起止线、坡度等信息，如有差异，说明具体情况及原因</w:t>
            </w:r>
          </w:p>
        </w:tc>
      </w:tr>
      <w:tr w14:paraId="7C79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CC790C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0F0B2C1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</w:tcPr>
          <w:p w14:paraId="3AA8495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设计风格与标准</w:t>
            </w:r>
          </w:p>
        </w:tc>
        <w:tc>
          <w:tcPr>
            <w:tcW w:w="1223" w:type="dxa"/>
          </w:tcPr>
          <w:p w14:paraId="6512BB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见效果图</w:t>
            </w:r>
          </w:p>
        </w:tc>
        <w:tc>
          <w:tcPr>
            <w:tcW w:w="1134" w:type="dxa"/>
          </w:tcPr>
          <w:p w14:paraId="1AC2BE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3C21EC7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应与滨海廊桥相匹配</w:t>
            </w:r>
          </w:p>
        </w:tc>
      </w:tr>
      <w:tr w14:paraId="618A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6CF29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04763CE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</w:tcPr>
          <w:p w14:paraId="470C3E9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结构安全与柱位</w:t>
            </w:r>
          </w:p>
        </w:tc>
        <w:tc>
          <w:tcPr>
            <w:tcW w:w="1223" w:type="dxa"/>
          </w:tcPr>
          <w:p w14:paraId="3BCB0A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见平面图</w:t>
            </w:r>
          </w:p>
        </w:tc>
        <w:tc>
          <w:tcPr>
            <w:tcW w:w="1134" w:type="dxa"/>
          </w:tcPr>
          <w:p w14:paraId="7751D42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1944054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应征求设计单位复核</w:t>
            </w:r>
          </w:p>
        </w:tc>
      </w:tr>
      <w:tr w14:paraId="1DCC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41BDF69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 w14:paraId="2FAAAB2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无障碍设计</w:t>
            </w:r>
          </w:p>
        </w:tc>
        <w:tc>
          <w:tcPr>
            <w:tcW w:w="2265" w:type="dxa"/>
          </w:tcPr>
          <w:p w14:paraId="41756B0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无障碍车位≥2</w:t>
            </w:r>
            <w:r>
              <w:rPr>
                <w:rFonts w:asciiTheme="minorEastAsia" w:hAnsiTheme="minorEastAsia"/>
                <w:szCs w:val="21"/>
              </w:rPr>
              <w:t>%</w:t>
            </w:r>
          </w:p>
        </w:tc>
        <w:tc>
          <w:tcPr>
            <w:tcW w:w="1223" w:type="dxa"/>
          </w:tcPr>
          <w:p w14:paraId="509901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xx%</w:t>
            </w:r>
          </w:p>
        </w:tc>
        <w:tc>
          <w:tcPr>
            <w:tcW w:w="1134" w:type="dxa"/>
          </w:tcPr>
          <w:p w14:paraId="18DB90A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</w:tcPr>
          <w:p w14:paraId="3A4901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布局靠近无障碍电梯厅</w:t>
            </w:r>
          </w:p>
        </w:tc>
      </w:tr>
      <w:tr w14:paraId="02F6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34F18CD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</w:tcPr>
          <w:p w14:paraId="31B4B65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  <w:vAlign w:val="center"/>
          </w:tcPr>
          <w:p w14:paraId="7CC44E8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与周边平稳衔接</w:t>
            </w:r>
          </w:p>
        </w:tc>
        <w:tc>
          <w:tcPr>
            <w:tcW w:w="1223" w:type="dxa"/>
            <w:vAlign w:val="center"/>
          </w:tcPr>
          <w:p w14:paraId="12061F0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F</w:t>
            </w:r>
            <w:r>
              <w:rPr>
                <w:rFonts w:hint="eastAsia" w:asciiTheme="minorEastAsia" w:hAnsiTheme="minorEastAsia"/>
                <w:szCs w:val="21"/>
              </w:rPr>
              <w:t>、2</w:t>
            </w:r>
            <w:r>
              <w:rPr>
                <w:rFonts w:asciiTheme="minorEastAsia" w:hAnsiTheme="minorEastAsia"/>
                <w:szCs w:val="21"/>
              </w:rPr>
              <w:t>F</w:t>
            </w:r>
          </w:p>
        </w:tc>
        <w:tc>
          <w:tcPr>
            <w:tcW w:w="1134" w:type="dxa"/>
            <w:vAlign w:val="center"/>
          </w:tcPr>
          <w:p w14:paraId="0FE07AF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31D993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标注近地面层及周边标高</w:t>
            </w:r>
          </w:p>
        </w:tc>
      </w:tr>
      <w:tr w14:paraId="7D4B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08643EE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08CDA8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消防登高面</w:t>
            </w:r>
          </w:p>
        </w:tc>
        <w:tc>
          <w:tcPr>
            <w:tcW w:w="2265" w:type="dxa"/>
            <w:vAlign w:val="center"/>
          </w:tcPr>
          <w:p w14:paraId="54B461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是否占用市政路</w:t>
            </w:r>
          </w:p>
        </w:tc>
        <w:tc>
          <w:tcPr>
            <w:tcW w:w="1223" w:type="dxa"/>
            <w:vAlign w:val="center"/>
          </w:tcPr>
          <w:p w14:paraId="26FDD14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如有，提供说明及街道一体化设计方案</w:t>
            </w:r>
          </w:p>
        </w:tc>
        <w:tc>
          <w:tcPr>
            <w:tcW w:w="1134" w:type="dxa"/>
            <w:vAlign w:val="center"/>
          </w:tcPr>
          <w:p w14:paraId="7252586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5C1719F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保证消防车转弯半径及路面荷载；如占用市政路，应取得相关部门的意见</w:t>
            </w:r>
          </w:p>
        </w:tc>
      </w:tr>
      <w:tr w14:paraId="05A6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restart"/>
            <w:vAlign w:val="center"/>
          </w:tcPr>
          <w:p w14:paraId="3D2F4E8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景观</w:t>
            </w:r>
          </w:p>
        </w:tc>
        <w:tc>
          <w:tcPr>
            <w:tcW w:w="1757" w:type="dxa"/>
            <w:vAlign w:val="center"/>
          </w:tcPr>
          <w:p w14:paraId="5AE3E9A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景观技术图纸</w:t>
            </w:r>
          </w:p>
        </w:tc>
        <w:tc>
          <w:tcPr>
            <w:tcW w:w="2265" w:type="dxa"/>
            <w:vAlign w:val="center"/>
          </w:tcPr>
          <w:p w14:paraId="748820D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标明铺装、绿化、非机动车停放等区域；附经济技术指标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223" w:type="dxa"/>
            <w:vAlign w:val="center"/>
          </w:tcPr>
          <w:p w14:paraId="256071C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提供平面图</w:t>
            </w:r>
          </w:p>
        </w:tc>
        <w:tc>
          <w:tcPr>
            <w:tcW w:w="1134" w:type="dxa"/>
            <w:vAlign w:val="center"/>
          </w:tcPr>
          <w:p w14:paraId="7FFAD15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543EBB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核对与建筑方案一致性</w:t>
            </w:r>
          </w:p>
        </w:tc>
      </w:tr>
      <w:tr w14:paraId="5B7A2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  <w:vAlign w:val="center"/>
          </w:tcPr>
          <w:p w14:paraId="18A8733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1159431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景观分析图纸</w:t>
            </w:r>
          </w:p>
        </w:tc>
        <w:tc>
          <w:tcPr>
            <w:tcW w:w="2265" w:type="dxa"/>
            <w:vAlign w:val="center"/>
          </w:tcPr>
          <w:p w14:paraId="286F02E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功能策划、游线分析、竖向设计、特色空间、植物配置</w:t>
            </w:r>
          </w:p>
        </w:tc>
        <w:tc>
          <w:tcPr>
            <w:tcW w:w="1223" w:type="dxa"/>
            <w:vAlign w:val="center"/>
          </w:tcPr>
          <w:p w14:paraId="45CFFB7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提供分析图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EED501">
            <w:pPr>
              <w:widowControl/>
              <w:jc w:val="center"/>
              <w:rPr>
                <w:rFonts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236E59D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考虑场地及周边环境</w:t>
            </w:r>
          </w:p>
        </w:tc>
      </w:tr>
      <w:tr w14:paraId="14A86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  <w:vAlign w:val="center"/>
          </w:tcPr>
          <w:p w14:paraId="11572F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 w14:paraId="58B67F3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公共空间</w:t>
            </w:r>
          </w:p>
        </w:tc>
        <w:tc>
          <w:tcPr>
            <w:tcW w:w="2265" w:type="dxa"/>
          </w:tcPr>
          <w:p w14:paraId="6C3A3B9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社区体育活动场地≥1000m</w:t>
            </w:r>
            <w:r>
              <w:rPr>
                <w:rFonts w:hint="eastAsia" w:asciiTheme="minorEastAsia" w:hAnsiTheme="minorEastAsia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Cs w:val="21"/>
              </w:rPr>
              <w:t>社区儿童游戏场地≥1200m</w:t>
            </w:r>
            <w:r>
              <w:rPr>
                <w:rFonts w:hint="eastAsia" w:ascii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1223" w:type="dxa"/>
          </w:tcPr>
          <w:p w14:paraId="110DD47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xx㎡</w:t>
            </w:r>
          </w:p>
        </w:tc>
        <w:tc>
          <w:tcPr>
            <w:tcW w:w="1134" w:type="dxa"/>
          </w:tcPr>
          <w:p w14:paraId="5A9BEE2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2B0C5F1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84D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520E53A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</w:tcPr>
          <w:p w14:paraId="0AACFF1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  <w:vAlign w:val="center"/>
          </w:tcPr>
          <w:p w14:paraId="29C22C9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功能与布局</w:t>
            </w:r>
          </w:p>
        </w:tc>
        <w:tc>
          <w:tcPr>
            <w:tcW w:w="1223" w:type="dxa"/>
          </w:tcPr>
          <w:p w14:paraId="193612B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提供平面图及分析图</w:t>
            </w:r>
          </w:p>
        </w:tc>
        <w:tc>
          <w:tcPr>
            <w:tcW w:w="1134" w:type="dxa"/>
          </w:tcPr>
          <w:p w14:paraId="4A780F1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7AE758F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鼓励合并兼顾设置，布局流线应便捷合理</w:t>
            </w:r>
          </w:p>
        </w:tc>
      </w:tr>
      <w:tr w14:paraId="7A8F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0A19F2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207FAF7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城市家具专篇</w:t>
            </w:r>
          </w:p>
        </w:tc>
        <w:tc>
          <w:tcPr>
            <w:tcW w:w="2265" w:type="dxa"/>
            <w:vAlign w:val="center"/>
          </w:tcPr>
          <w:p w14:paraId="5D7C23A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座椅、小品、标识</w:t>
            </w:r>
          </w:p>
        </w:tc>
        <w:tc>
          <w:tcPr>
            <w:tcW w:w="1223" w:type="dxa"/>
          </w:tcPr>
          <w:p w14:paraId="7E7198C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提供分析图及效果图</w:t>
            </w:r>
          </w:p>
        </w:tc>
        <w:tc>
          <w:tcPr>
            <w:tcW w:w="1134" w:type="dxa"/>
          </w:tcPr>
          <w:p w14:paraId="67002BC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0C9CE87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保证品质、安全性、舒适性及耐久性，避免尖角</w:t>
            </w:r>
          </w:p>
        </w:tc>
      </w:tr>
      <w:tr w14:paraId="0DA2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78C5D4E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restart"/>
            <w:vAlign w:val="center"/>
          </w:tcPr>
          <w:p w14:paraId="588647B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建筑前区专篇</w:t>
            </w:r>
          </w:p>
        </w:tc>
        <w:tc>
          <w:tcPr>
            <w:tcW w:w="2265" w:type="dxa"/>
            <w:vAlign w:val="center"/>
          </w:tcPr>
          <w:p w14:paraId="3279F333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活跃界面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金科路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）</w:t>
            </w:r>
          </w:p>
        </w:tc>
        <w:tc>
          <w:tcPr>
            <w:tcW w:w="1223" w:type="dxa"/>
          </w:tcPr>
          <w:p w14:paraId="0B73BC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如有，商业界面占比≥6</w:t>
            </w:r>
            <w:r>
              <w:rPr>
                <w:rFonts w:asciiTheme="minorEastAsia" w:hAnsiTheme="minorEastAsia"/>
                <w:szCs w:val="21"/>
              </w:rPr>
              <w:t>0%</w:t>
            </w:r>
            <w:r>
              <w:rPr>
                <w:rFonts w:hint="eastAsia" w:asciiTheme="minorEastAsia" w:hAnsiTheme="minorEastAsia"/>
                <w:szCs w:val="21"/>
              </w:rPr>
              <w:t>，且应设置遮阳避雨设施</w:t>
            </w:r>
          </w:p>
        </w:tc>
        <w:tc>
          <w:tcPr>
            <w:tcW w:w="1134" w:type="dxa"/>
            <w:vAlign w:val="center"/>
          </w:tcPr>
          <w:p w14:paraId="7211683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20D7B0B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宜功能复合、配套完善</w:t>
            </w:r>
          </w:p>
        </w:tc>
      </w:tr>
      <w:tr w14:paraId="60F24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129A8A7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  <w:vAlign w:val="center"/>
          </w:tcPr>
          <w:p w14:paraId="4DBDDD4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  <w:vAlign w:val="center"/>
          </w:tcPr>
          <w:p w14:paraId="07DDD6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断面、店招及铺装</w:t>
            </w:r>
          </w:p>
        </w:tc>
        <w:tc>
          <w:tcPr>
            <w:tcW w:w="1223" w:type="dxa"/>
          </w:tcPr>
          <w:p w14:paraId="646905C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提供平立剖面及效果图</w:t>
            </w:r>
          </w:p>
        </w:tc>
        <w:tc>
          <w:tcPr>
            <w:tcW w:w="1134" w:type="dxa"/>
            <w:vAlign w:val="center"/>
          </w:tcPr>
          <w:p w14:paraId="2C0FED2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4B83CD4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宜开敞通透、风貌协调</w:t>
            </w:r>
          </w:p>
          <w:p w14:paraId="7A09B1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红线内外一体化设计</w:t>
            </w:r>
          </w:p>
        </w:tc>
      </w:tr>
      <w:tr w14:paraId="5BDB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1B91761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Merge w:val="continue"/>
          </w:tcPr>
          <w:p w14:paraId="366BD8A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5" w:type="dxa"/>
            <w:vAlign w:val="center"/>
          </w:tcPr>
          <w:p w14:paraId="62641E8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出地面设施</w:t>
            </w:r>
          </w:p>
        </w:tc>
        <w:tc>
          <w:tcPr>
            <w:tcW w:w="1223" w:type="dxa"/>
          </w:tcPr>
          <w:p w14:paraId="35F48F1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应梳理并提供美化措施</w:t>
            </w:r>
          </w:p>
        </w:tc>
        <w:tc>
          <w:tcPr>
            <w:tcW w:w="1134" w:type="dxa"/>
            <w:vAlign w:val="center"/>
          </w:tcPr>
          <w:p w14:paraId="022241F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77498E0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标明位置、尺寸、美化措施，宜结合建筑、下沉广场设计</w:t>
            </w:r>
          </w:p>
        </w:tc>
      </w:tr>
      <w:tr w14:paraId="0F5E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243CBFE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4999CEB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第五立面专篇</w:t>
            </w:r>
          </w:p>
        </w:tc>
        <w:tc>
          <w:tcPr>
            <w:tcW w:w="2265" w:type="dxa"/>
            <w:vAlign w:val="center"/>
          </w:tcPr>
          <w:p w14:paraId="2C9D04C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遮蔽与美化</w:t>
            </w:r>
          </w:p>
        </w:tc>
        <w:tc>
          <w:tcPr>
            <w:tcW w:w="1223" w:type="dxa"/>
            <w:vAlign w:val="center"/>
          </w:tcPr>
          <w:p w14:paraId="1ECBF64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提供平面及效果图</w:t>
            </w:r>
          </w:p>
        </w:tc>
        <w:tc>
          <w:tcPr>
            <w:tcW w:w="1134" w:type="dxa"/>
            <w:vAlign w:val="center"/>
          </w:tcPr>
          <w:p w14:paraId="11B46C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51A3AE2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空间合理利用、整洁有序</w:t>
            </w:r>
          </w:p>
          <w:p w14:paraId="68D6E7E3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宜设置高空景观花园群</w:t>
            </w:r>
          </w:p>
        </w:tc>
      </w:tr>
      <w:tr w14:paraId="5C74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</w:tcPr>
          <w:p w14:paraId="019FD23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7" w:type="dxa"/>
            <w:vAlign w:val="center"/>
          </w:tcPr>
          <w:p w14:paraId="6B4F875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泛光照明专篇</w:t>
            </w:r>
          </w:p>
        </w:tc>
        <w:tc>
          <w:tcPr>
            <w:tcW w:w="2265" w:type="dxa"/>
            <w:vAlign w:val="center"/>
          </w:tcPr>
          <w:p w14:paraId="6507801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平时与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特殊</w:t>
            </w:r>
            <w:r>
              <w:rPr>
                <w:rFonts w:hint="eastAsia" w:asciiTheme="minorEastAsia" w:hAnsiTheme="minorEastAsia"/>
                <w:szCs w:val="21"/>
              </w:rPr>
              <w:t>效果</w:t>
            </w:r>
          </w:p>
        </w:tc>
        <w:tc>
          <w:tcPr>
            <w:tcW w:w="1223" w:type="dxa"/>
          </w:tcPr>
          <w:p w14:paraId="6BC9471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提供分析图及效果图</w:t>
            </w:r>
          </w:p>
        </w:tc>
        <w:tc>
          <w:tcPr>
            <w:tcW w:w="1134" w:type="dxa"/>
            <w:vAlign w:val="center"/>
          </w:tcPr>
          <w:p w14:paraId="23BA51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√</w:t>
            </w:r>
          </w:p>
        </w:tc>
        <w:tc>
          <w:tcPr>
            <w:tcW w:w="2835" w:type="dxa"/>
            <w:vAlign w:val="center"/>
          </w:tcPr>
          <w:p w14:paraId="3DD62C7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与建筑及周边环境的融合性</w:t>
            </w:r>
          </w:p>
        </w:tc>
      </w:tr>
      <w:tr w14:paraId="52E44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35" w:type="dxa"/>
            <w:vAlign w:val="center"/>
          </w:tcPr>
          <w:p w14:paraId="476097C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其他</w:t>
            </w:r>
          </w:p>
        </w:tc>
        <w:tc>
          <w:tcPr>
            <w:tcW w:w="9214" w:type="dxa"/>
            <w:gridSpan w:val="5"/>
            <w:vAlign w:val="center"/>
          </w:tcPr>
          <w:p w14:paraId="6C033A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关注滨海特色、岭南气候、全龄友好、科技创新、经济适用、国际化等理念的响应</w:t>
            </w:r>
          </w:p>
        </w:tc>
      </w:tr>
    </w:tbl>
    <w:p w14:paraId="0C9D4453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14:paraId="5CEF04E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注：①【审查要求】栏内，按规划批复城市设计要求等相关内容填写；</w:t>
      </w:r>
    </w:p>
    <w:p w14:paraId="589C1E2F"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②【设计方案值】栏内结合方案设计实际情况填写；</w:t>
      </w:r>
    </w:p>
    <w:p w14:paraId="1C29429D">
      <w:pPr>
        <w:spacing w:line="360" w:lineRule="auto"/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③【是否满足】</w:t>
      </w:r>
      <w:r>
        <w:rPr>
          <w:rFonts w:asciiTheme="minorEastAsia" w:hAnsiTheme="minorEastAsia"/>
          <w:sz w:val="24"/>
          <w:szCs w:val="24"/>
        </w:rPr>
        <w:t>栏内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如</w:t>
      </w:r>
      <w:r>
        <w:rPr>
          <w:rFonts w:hint="eastAsia" w:asciiTheme="minorEastAsia" w:hAnsiTheme="minorEastAsia"/>
          <w:sz w:val="24"/>
          <w:szCs w:val="24"/>
        </w:rPr>
        <w:t>合规打“√”，如不合规打“×”。</w:t>
      </w:r>
    </w:p>
    <w:p w14:paraId="3A718F7A">
      <w:pPr>
        <w:spacing w:line="360" w:lineRule="auto"/>
        <w:ind w:firstLine="480" w:firstLineChars="200"/>
        <w:rPr>
          <w:rFonts w:hint="eastAsia" w:ascii="宋体" w:hAnsi="宋体" w:eastAsia="宋体"/>
          <w:b/>
          <w:bCs/>
          <w:sz w:val="32"/>
          <w:szCs w:val="36"/>
        </w:rPr>
      </w:pPr>
      <w:r>
        <w:rPr>
          <w:rFonts w:hint="eastAsia" w:asciiTheme="minorEastAsia" w:hAnsiTheme="minorEastAsia"/>
          <w:sz w:val="24"/>
          <w:szCs w:val="24"/>
        </w:rPr>
        <w:t>④若报方案阶段景观设计深度不足，应另行补充相应文本。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97EF8">
    <w:pPr>
      <w:pStyle w:val="6"/>
      <w:jc w:val="center"/>
    </w:pPr>
  </w:p>
  <w:p w14:paraId="1B58ACC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5A"/>
    <w:rsid w:val="00000448"/>
    <w:rsid w:val="000005CC"/>
    <w:rsid w:val="00002D08"/>
    <w:rsid w:val="00002E42"/>
    <w:rsid w:val="00014120"/>
    <w:rsid w:val="00036B7D"/>
    <w:rsid w:val="00036BBC"/>
    <w:rsid w:val="00037A85"/>
    <w:rsid w:val="00046F00"/>
    <w:rsid w:val="000647C3"/>
    <w:rsid w:val="00070827"/>
    <w:rsid w:val="000723FC"/>
    <w:rsid w:val="00076950"/>
    <w:rsid w:val="00081011"/>
    <w:rsid w:val="000920C0"/>
    <w:rsid w:val="00092CD0"/>
    <w:rsid w:val="00097963"/>
    <w:rsid w:val="000A454A"/>
    <w:rsid w:val="000B003B"/>
    <w:rsid w:val="000B355E"/>
    <w:rsid w:val="000B48FC"/>
    <w:rsid w:val="000B51E3"/>
    <w:rsid w:val="000C1F66"/>
    <w:rsid w:val="000C2248"/>
    <w:rsid w:val="000F54A4"/>
    <w:rsid w:val="00113F3F"/>
    <w:rsid w:val="0012093A"/>
    <w:rsid w:val="00125C92"/>
    <w:rsid w:val="00127B1C"/>
    <w:rsid w:val="001349DF"/>
    <w:rsid w:val="001367DA"/>
    <w:rsid w:val="00150AEA"/>
    <w:rsid w:val="00152B48"/>
    <w:rsid w:val="00157ECA"/>
    <w:rsid w:val="00180AE9"/>
    <w:rsid w:val="00182F64"/>
    <w:rsid w:val="0019512F"/>
    <w:rsid w:val="001C1484"/>
    <w:rsid w:val="001C1DF0"/>
    <w:rsid w:val="001C6DDB"/>
    <w:rsid w:val="001D79FC"/>
    <w:rsid w:val="001E3F5A"/>
    <w:rsid w:val="001F666C"/>
    <w:rsid w:val="002018A0"/>
    <w:rsid w:val="00203B30"/>
    <w:rsid w:val="002121D0"/>
    <w:rsid w:val="00231597"/>
    <w:rsid w:val="00234401"/>
    <w:rsid w:val="002410E9"/>
    <w:rsid w:val="0024234C"/>
    <w:rsid w:val="00267B10"/>
    <w:rsid w:val="0027355F"/>
    <w:rsid w:val="00280B5E"/>
    <w:rsid w:val="002B551D"/>
    <w:rsid w:val="002D0BE2"/>
    <w:rsid w:val="002E2094"/>
    <w:rsid w:val="002E4FB8"/>
    <w:rsid w:val="002F4DD2"/>
    <w:rsid w:val="003055E3"/>
    <w:rsid w:val="00322FA0"/>
    <w:rsid w:val="0032609B"/>
    <w:rsid w:val="00333FD5"/>
    <w:rsid w:val="00342086"/>
    <w:rsid w:val="003529EA"/>
    <w:rsid w:val="00357C2C"/>
    <w:rsid w:val="00364D1A"/>
    <w:rsid w:val="00377CF3"/>
    <w:rsid w:val="00384C42"/>
    <w:rsid w:val="00385514"/>
    <w:rsid w:val="003906F4"/>
    <w:rsid w:val="003B0D8B"/>
    <w:rsid w:val="003C034D"/>
    <w:rsid w:val="003C1176"/>
    <w:rsid w:val="004240D3"/>
    <w:rsid w:val="004366F8"/>
    <w:rsid w:val="004375A1"/>
    <w:rsid w:val="00453FE0"/>
    <w:rsid w:val="00466F98"/>
    <w:rsid w:val="004741D0"/>
    <w:rsid w:val="0049287F"/>
    <w:rsid w:val="004947BD"/>
    <w:rsid w:val="00496FF1"/>
    <w:rsid w:val="004A524D"/>
    <w:rsid w:val="004C0895"/>
    <w:rsid w:val="004C74DA"/>
    <w:rsid w:val="004E5997"/>
    <w:rsid w:val="004F42AE"/>
    <w:rsid w:val="00511F91"/>
    <w:rsid w:val="005121E3"/>
    <w:rsid w:val="00513E1D"/>
    <w:rsid w:val="005142A8"/>
    <w:rsid w:val="00514C25"/>
    <w:rsid w:val="0051681D"/>
    <w:rsid w:val="00517844"/>
    <w:rsid w:val="0052037A"/>
    <w:rsid w:val="005267A1"/>
    <w:rsid w:val="00535303"/>
    <w:rsid w:val="005424FA"/>
    <w:rsid w:val="0055467A"/>
    <w:rsid w:val="005644F1"/>
    <w:rsid w:val="00565ED9"/>
    <w:rsid w:val="0057021B"/>
    <w:rsid w:val="00580F24"/>
    <w:rsid w:val="00583C7C"/>
    <w:rsid w:val="005877FE"/>
    <w:rsid w:val="005A22F0"/>
    <w:rsid w:val="005C2993"/>
    <w:rsid w:val="005C52DC"/>
    <w:rsid w:val="005D032F"/>
    <w:rsid w:val="005E2BB1"/>
    <w:rsid w:val="005E4ADF"/>
    <w:rsid w:val="005E7D02"/>
    <w:rsid w:val="005F6ADB"/>
    <w:rsid w:val="006100D5"/>
    <w:rsid w:val="00612F92"/>
    <w:rsid w:val="00622DF2"/>
    <w:rsid w:val="006277F6"/>
    <w:rsid w:val="006465EA"/>
    <w:rsid w:val="006509AD"/>
    <w:rsid w:val="00665EB0"/>
    <w:rsid w:val="00690D2A"/>
    <w:rsid w:val="006A220F"/>
    <w:rsid w:val="006A5E5B"/>
    <w:rsid w:val="006C2510"/>
    <w:rsid w:val="006C3BB0"/>
    <w:rsid w:val="006C4C3B"/>
    <w:rsid w:val="006E13AC"/>
    <w:rsid w:val="006E25EF"/>
    <w:rsid w:val="006E4909"/>
    <w:rsid w:val="007020ED"/>
    <w:rsid w:val="00722A5F"/>
    <w:rsid w:val="00723CC0"/>
    <w:rsid w:val="00733293"/>
    <w:rsid w:val="0073496D"/>
    <w:rsid w:val="007349FE"/>
    <w:rsid w:val="00736088"/>
    <w:rsid w:val="00737A02"/>
    <w:rsid w:val="00746A0E"/>
    <w:rsid w:val="007614B5"/>
    <w:rsid w:val="00762762"/>
    <w:rsid w:val="00770F5F"/>
    <w:rsid w:val="00777DC4"/>
    <w:rsid w:val="007A0751"/>
    <w:rsid w:val="007A0FCC"/>
    <w:rsid w:val="007A7295"/>
    <w:rsid w:val="007B7A53"/>
    <w:rsid w:val="007D4B60"/>
    <w:rsid w:val="007D6391"/>
    <w:rsid w:val="007E0CEC"/>
    <w:rsid w:val="007E125B"/>
    <w:rsid w:val="007E270C"/>
    <w:rsid w:val="007E54FD"/>
    <w:rsid w:val="007E7160"/>
    <w:rsid w:val="0082083A"/>
    <w:rsid w:val="00821C45"/>
    <w:rsid w:val="00827BF6"/>
    <w:rsid w:val="00831AD6"/>
    <w:rsid w:val="008436CE"/>
    <w:rsid w:val="00843D67"/>
    <w:rsid w:val="008609B0"/>
    <w:rsid w:val="00861523"/>
    <w:rsid w:val="00862D86"/>
    <w:rsid w:val="00871434"/>
    <w:rsid w:val="00877E6C"/>
    <w:rsid w:val="008829AB"/>
    <w:rsid w:val="00882FA8"/>
    <w:rsid w:val="00890DCF"/>
    <w:rsid w:val="008939F7"/>
    <w:rsid w:val="008A2007"/>
    <w:rsid w:val="008A2A84"/>
    <w:rsid w:val="008B5AFF"/>
    <w:rsid w:val="008B67E2"/>
    <w:rsid w:val="008D0AB3"/>
    <w:rsid w:val="008D47FE"/>
    <w:rsid w:val="008D483D"/>
    <w:rsid w:val="00901AFA"/>
    <w:rsid w:val="009020B9"/>
    <w:rsid w:val="00905427"/>
    <w:rsid w:val="00916E08"/>
    <w:rsid w:val="00920975"/>
    <w:rsid w:val="0092544D"/>
    <w:rsid w:val="0093596F"/>
    <w:rsid w:val="00944F92"/>
    <w:rsid w:val="009467A5"/>
    <w:rsid w:val="009476D8"/>
    <w:rsid w:val="00954008"/>
    <w:rsid w:val="00954ABC"/>
    <w:rsid w:val="00964E02"/>
    <w:rsid w:val="00974591"/>
    <w:rsid w:val="009775AC"/>
    <w:rsid w:val="0098587A"/>
    <w:rsid w:val="00993212"/>
    <w:rsid w:val="009A2A1E"/>
    <w:rsid w:val="009C1DF3"/>
    <w:rsid w:val="00A02E28"/>
    <w:rsid w:val="00A04A89"/>
    <w:rsid w:val="00A17FED"/>
    <w:rsid w:val="00A21F9B"/>
    <w:rsid w:val="00A336E5"/>
    <w:rsid w:val="00A34B04"/>
    <w:rsid w:val="00A40691"/>
    <w:rsid w:val="00A71FB9"/>
    <w:rsid w:val="00A932DC"/>
    <w:rsid w:val="00A978F5"/>
    <w:rsid w:val="00AA4EF7"/>
    <w:rsid w:val="00AB6513"/>
    <w:rsid w:val="00AC4D0A"/>
    <w:rsid w:val="00AC665A"/>
    <w:rsid w:val="00AC6F9D"/>
    <w:rsid w:val="00AD2DB0"/>
    <w:rsid w:val="00AD4CDF"/>
    <w:rsid w:val="00AE3B3D"/>
    <w:rsid w:val="00AF2FBE"/>
    <w:rsid w:val="00B10786"/>
    <w:rsid w:val="00B1662A"/>
    <w:rsid w:val="00B174D5"/>
    <w:rsid w:val="00B2371E"/>
    <w:rsid w:val="00B34D31"/>
    <w:rsid w:val="00B410A3"/>
    <w:rsid w:val="00B45E85"/>
    <w:rsid w:val="00B5740F"/>
    <w:rsid w:val="00B6455D"/>
    <w:rsid w:val="00B648F6"/>
    <w:rsid w:val="00B6756C"/>
    <w:rsid w:val="00B86DB0"/>
    <w:rsid w:val="00BB2EC8"/>
    <w:rsid w:val="00BC10A2"/>
    <w:rsid w:val="00BD1F01"/>
    <w:rsid w:val="00BD2F5C"/>
    <w:rsid w:val="00BE0850"/>
    <w:rsid w:val="00BE3B66"/>
    <w:rsid w:val="00C056F5"/>
    <w:rsid w:val="00C11C19"/>
    <w:rsid w:val="00C16A11"/>
    <w:rsid w:val="00C23689"/>
    <w:rsid w:val="00C30EDE"/>
    <w:rsid w:val="00C35D65"/>
    <w:rsid w:val="00C374B6"/>
    <w:rsid w:val="00C37A5D"/>
    <w:rsid w:val="00C468B3"/>
    <w:rsid w:val="00C50C35"/>
    <w:rsid w:val="00C53C29"/>
    <w:rsid w:val="00C57AB7"/>
    <w:rsid w:val="00C64F67"/>
    <w:rsid w:val="00C75C38"/>
    <w:rsid w:val="00C82DFC"/>
    <w:rsid w:val="00C843E8"/>
    <w:rsid w:val="00C84D8D"/>
    <w:rsid w:val="00CA327F"/>
    <w:rsid w:val="00CE0135"/>
    <w:rsid w:val="00CE15E1"/>
    <w:rsid w:val="00CE4F8B"/>
    <w:rsid w:val="00CF6807"/>
    <w:rsid w:val="00CF7C0B"/>
    <w:rsid w:val="00D01CF6"/>
    <w:rsid w:val="00D05B24"/>
    <w:rsid w:val="00D14769"/>
    <w:rsid w:val="00D15E0E"/>
    <w:rsid w:val="00D308D8"/>
    <w:rsid w:val="00D30959"/>
    <w:rsid w:val="00D34792"/>
    <w:rsid w:val="00D45101"/>
    <w:rsid w:val="00D633B7"/>
    <w:rsid w:val="00D6578B"/>
    <w:rsid w:val="00D70FDB"/>
    <w:rsid w:val="00D71189"/>
    <w:rsid w:val="00D72253"/>
    <w:rsid w:val="00D80D45"/>
    <w:rsid w:val="00D82A46"/>
    <w:rsid w:val="00D90B58"/>
    <w:rsid w:val="00D939F3"/>
    <w:rsid w:val="00D93ABC"/>
    <w:rsid w:val="00DA1299"/>
    <w:rsid w:val="00DA5051"/>
    <w:rsid w:val="00DA5B84"/>
    <w:rsid w:val="00DA61F3"/>
    <w:rsid w:val="00DB1509"/>
    <w:rsid w:val="00DC3D69"/>
    <w:rsid w:val="00DC6A17"/>
    <w:rsid w:val="00DC7FCA"/>
    <w:rsid w:val="00DE0159"/>
    <w:rsid w:val="00DF7E06"/>
    <w:rsid w:val="00E01C3B"/>
    <w:rsid w:val="00E06359"/>
    <w:rsid w:val="00E07B5F"/>
    <w:rsid w:val="00E24607"/>
    <w:rsid w:val="00E27747"/>
    <w:rsid w:val="00E4581A"/>
    <w:rsid w:val="00E46C14"/>
    <w:rsid w:val="00E6220B"/>
    <w:rsid w:val="00E66A84"/>
    <w:rsid w:val="00E755E3"/>
    <w:rsid w:val="00E80ECD"/>
    <w:rsid w:val="00E94B83"/>
    <w:rsid w:val="00EB09F6"/>
    <w:rsid w:val="00EC2732"/>
    <w:rsid w:val="00ED498A"/>
    <w:rsid w:val="00ED7481"/>
    <w:rsid w:val="00ED7CC7"/>
    <w:rsid w:val="00EE3F1A"/>
    <w:rsid w:val="00EF065E"/>
    <w:rsid w:val="00EF279D"/>
    <w:rsid w:val="00EF6279"/>
    <w:rsid w:val="00F00EF5"/>
    <w:rsid w:val="00F00FB0"/>
    <w:rsid w:val="00F03B68"/>
    <w:rsid w:val="00F174ED"/>
    <w:rsid w:val="00F330DF"/>
    <w:rsid w:val="00F3360D"/>
    <w:rsid w:val="00F34E1D"/>
    <w:rsid w:val="00F36BAF"/>
    <w:rsid w:val="00F46070"/>
    <w:rsid w:val="00F50E24"/>
    <w:rsid w:val="00F5173A"/>
    <w:rsid w:val="00F52334"/>
    <w:rsid w:val="00F6089C"/>
    <w:rsid w:val="00F60C36"/>
    <w:rsid w:val="00F67CD6"/>
    <w:rsid w:val="00F72E55"/>
    <w:rsid w:val="00F831B5"/>
    <w:rsid w:val="00F834DF"/>
    <w:rsid w:val="00F87F2D"/>
    <w:rsid w:val="00F903ED"/>
    <w:rsid w:val="00F91999"/>
    <w:rsid w:val="00F97FDC"/>
    <w:rsid w:val="00FB0EBD"/>
    <w:rsid w:val="00FD346D"/>
    <w:rsid w:val="0693524E"/>
    <w:rsid w:val="09396AFB"/>
    <w:rsid w:val="0AC20733"/>
    <w:rsid w:val="0D6B44A6"/>
    <w:rsid w:val="1E3C2FA6"/>
    <w:rsid w:val="25795269"/>
    <w:rsid w:val="471B76AA"/>
    <w:rsid w:val="551B3330"/>
    <w:rsid w:val="5BC211C0"/>
    <w:rsid w:val="6E6C3C6D"/>
    <w:rsid w:val="7602334D"/>
    <w:rsid w:val="79E1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35"/>
    <w:pPr>
      <w:spacing w:before="50" w:beforeLines="50" w:after="50" w:afterLines="50" w:line="360" w:lineRule="auto"/>
      <w:ind w:firstLine="200" w:firstLineChars="200"/>
    </w:pPr>
    <w:rPr>
      <w:rFonts w:eastAsia="黑体" w:asciiTheme="majorHAnsi" w:hAnsiTheme="majorHAnsi" w:cstheme="majorBidi"/>
      <w:sz w:val="20"/>
      <w:szCs w:val="20"/>
    </w:rPr>
  </w:style>
  <w:style w:type="paragraph" w:styleId="5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9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widowControl/>
      <w:ind w:left="720"/>
      <w:contextualSpacing/>
      <w:jc w:val="left"/>
    </w:pPr>
    <w:rPr>
      <w:kern w:val="0"/>
      <w:sz w:val="24"/>
      <w:szCs w:val="24"/>
    </w:rPr>
  </w:style>
  <w:style w:type="paragraph" w:styleId="17">
    <w:name w:val="No Spacing"/>
    <w:link w:val="1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8">
    <w:name w:val="无间隔 字符"/>
    <w:basedOn w:val="12"/>
    <w:link w:val="17"/>
    <w:qFormat/>
    <w:uiPriority w:val="1"/>
    <w:rPr>
      <w:kern w:val="0"/>
      <w:sz w:val="22"/>
    </w:rPr>
  </w:style>
  <w:style w:type="character" w:customStyle="1" w:styleId="19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1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11FDB-7ADF-4C0A-A0AA-7E875A8294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1690</Words>
  <Characters>1781</Characters>
  <Lines>17</Lines>
  <Paragraphs>4</Paragraphs>
  <TotalTime>33</TotalTime>
  <ScaleCrop>false</ScaleCrop>
  <LinksUpToDate>false</LinksUpToDate>
  <CharactersWithSpaces>1784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2022-08-25T07:57:00Z</dcterms:created>
  <dc:creator>Lenovo</dc:creator>
  <cp:lastModifiedBy>廖岳骏</cp:lastModifiedBy>
  <cp:lastPrinted>2022-02-17T11:38:00Z</cp:lastPrinted>
  <dcterms:modified xsi:type="dcterms:W3CDTF">2026-07-06T01:37:47Z</dcterms:modified>
  <dc:title>深圳湾超级总部基地建筑单体报建流程及文件编制要求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eyJoZGlkIjoiNjNhZWFkZTczMTc4MjdlNTIyOGY2NzA4OGU4NzEwNGMiLCJ1c2VySWQiOiI0MzIxMDc5ODgifQ==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0AC7C35F639E4E1495C2883A03311193_13</vt:lpwstr>
  </property>
</Properties>
</file>